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00" w:rsidRDefault="00BD1D00" w:rsidP="00BD1D00">
      <w:r>
        <w:t>Kierownik Jednostki Samorządu Terytorialnego (dalej JST)  - w rozumieniu art. 33 ust. 3 Ustawy o samorządzie gminnym (Dz.U.2001.142.1591 j.t.)</w:t>
      </w:r>
    </w:p>
    <w:p w:rsidR="00BD1D00" w:rsidRDefault="00BD1D00" w:rsidP="00BD1D00">
      <w:r>
        <w:t> </w:t>
      </w:r>
    </w:p>
    <w:p w:rsidR="00BD1D00" w:rsidRDefault="00BD1D00" w:rsidP="00BD1D00">
      <w:r>
        <w:t>Dane wnioskodawcy/</w:t>
      </w:r>
      <w:proofErr w:type="spellStart"/>
      <w:r>
        <w:t>współwnioskodawcy</w:t>
      </w:r>
      <w:proofErr w:type="spellEnd"/>
      <w:r>
        <w:t xml:space="preserve"> znajdują się poniżej oraz - w załączonym pliku sygnowanym bezpiecznym podpisem elektronicznym, weryfikowanym kwalifikowanym certyfikatem - stosownie do dyspozycji Ustawy z dnia 18 września 2001 r. o podpisie elektronicznym (Dz. U. Nr 130 poz. 1450) oraz przepisów art. 4 ust. 5 Ustawy o petycjach (Dz.U.2014.1195 z dnia 2014.09.05) </w:t>
      </w:r>
    </w:p>
    <w:p w:rsidR="00BD1D00" w:rsidRDefault="00BD1D00" w:rsidP="00BD1D00"/>
    <w:p w:rsidR="00BD1D00" w:rsidRDefault="00BD1D00" w:rsidP="00BD1D00"/>
    <w:p w:rsidR="00BD1D00" w:rsidRDefault="00BD1D00" w:rsidP="00BD1D00">
      <w:r>
        <w:t>Preambuła Wniosku: </w:t>
      </w:r>
    </w:p>
    <w:p w:rsidR="00BD1D00" w:rsidRDefault="00BD1D00" w:rsidP="00BD1D00"/>
    <w:p w:rsidR="00BD1D00" w:rsidRDefault="00BD1D00" w:rsidP="00BD1D00">
      <w:r>
        <w:t>W ciągu ostatnich 4 lat Wnioskodawca (niżej podpisana Osoba Prawna) składała zapytania do Jednostek Samorządu Terytorialnego w trybie ustawy o dostępie do informacji publicznej - w przedmiocie realizacji zadań związanych z poprawą efektywności energetycznej (wg. wymogów art. 10 ustawy o efektywności energetycznej).</w:t>
      </w:r>
    </w:p>
    <w:p w:rsidR="00BD1D00" w:rsidRDefault="00BD1D00" w:rsidP="00BD1D00"/>
    <w:p w:rsidR="00BD1D00" w:rsidRDefault="00BD1D00" w:rsidP="00BD1D00">
      <w:r>
        <w:t>Rzeczone petycje i wnioski, w którym staraliśmy się zwrócić percepcję Decydentów na rzeczywistą (empiryczną) definicję pojęcia "efektywności energetycznej" dostarczyliśmy również do Urzędów Marszałkowskich.</w:t>
      </w:r>
    </w:p>
    <w:p w:rsidR="00BD1D00" w:rsidRDefault="00BD1D00" w:rsidP="00BD1D00">
      <w:r>
        <w:t>Uzyskaliśmy szczegółowe odpowiedzi, z których dwie przykładowe - załączamy do niniejszej petycji, scilicet z Urzędu Marszałkowskiego Województwa Opolskiego, w której Pan Marszałek - trafnie odwołuje się do Dyrektywy 2009/125/WE - </w:t>
      </w:r>
    </w:p>
    <w:p w:rsidR="00BD1D00" w:rsidRDefault="00BD1D00" w:rsidP="00BD1D00"/>
    <w:p w:rsidR="00BD1D00" w:rsidRDefault="00BD1D00" w:rsidP="00BD1D00">
      <w:r>
        <w:t xml:space="preserve">Notabene pozwalamy sobie przypomnieć, że Rozporządzenie wykonawcze dyrektywy </w:t>
      </w:r>
      <w:proofErr w:type="spellStart"/>
      <w:r>
        <w:t>Ecodesign</w:t>
      </w:r>
      <w:proofErr w:type="spellEnd"/>
      <w:r>
        <w:t xml:space="preserve"> -  scilicet  ROZPORZĄDZENIE KOMISJI UE 2015/1189 z dnia 28 kwietnia 2015 r. w sprawie wykonania dyrektywy Parlamentu Europejskiego i Rady 2009/125/WE w odniesieniu do wymogów dotyczących </w:t>
      </w:r>
      <w:proofErr w:type="spellStart"/>
      <w:r>
        <w:t>ekoprojektu</w:t>
      </w:r>
      <w:proofErr w:type="spellEnd"/>
      <w:r>
        <w:t xml:space="preserve"> dla kotłów na paliwo stałe) - porządkuje rzeczoną kwestię, wprowadzając graniczne wartości emisji pyłów, organicznych związków gazowych (OGC), tlenku węgla i tlenków azotu (</w:t>
      </w:r>
      <w:proofErr w:type="spellStart"/>
      <w:r>
        <w:t>NOx</w:t>
      </w:r>
      <w:proofErr w:type="spellEnd"/>
      <w:r>
        <w:t>) zarówno przy mocy maksymalnej, jak i minimalnej.</w:t>
      </w:r>
    </w:p>
    <w:p w:rsidR="00BD1D00" w:rsidRDefault="00BD1D00" w:rsidP="00BD1D00">
      <w:proofErr w:type="spellStart"/>
      <w:r>
        <w:t>Ecodesign</w:t>
      </w:r>
      <w:proofErr w:type="spellEnd"/>
      <w:r>
        <w:t xml:space="preserve"> wprowadza również termin sezonowej efektywności energetycznej.</w:t>
      </w:r>
    </w:p>
    <w:p w:rsidR="00BD1D00" w:rsidRDefault="00BD1D00" w:rsidP="00BD1D00">
      <w:r>
        <w:t>W uproszczeniu: Efektywność energetyczna= sprawność kotła pomniejszona o zużycie energii elektrycznej".</w:t>
      </w:r>
    </w:p>
    <w:p w:rsidR="00BD1D00" w:rsidRDefault="00BD1D00" w:rsidP="00BD1D00"/>
    <w:p w:rsidR="00BD1D00" w:rsidRDefault="00BD1D00" w:rsidP="00BD1D00">
      <w:r>
        <w:t>Rozwinięcie wzmiankowanej problematyki - znajduje się w załącznikach nr 3 i 4 do niniejszego wniosku. </w:t>
      </w:r>
    </w:p>
    <w:p w:rsidR="00BD1D00" w:rsidRDefault="00BD1D00" w:rsidP="00BD1D00"/>
    <w:p w:rsidR="00BD1D00" w:rsidRDefault="00BD1D00" w:rsidP="00BD1D00">
      <w:r>
        <w:t>Wzmiankowane wyżej Rozporządzenie  Komisji UE nr 2015/1189 - dołączamy do niniejszego wniosku jako załącznik nr 5 </w:t>
      </w:r>
    </w:p>
    <w:p w:rsidR="00BD1D00" w:rsidRDefault="00BD1D00" w:rsidP="00BD1D00"/>
    <w:p w:rsidR="00BD1D00" w:rsidRDefault="00BD1D00" w:rsidP="00BD1D00">
      <w:r>
        <w:t xml:space="preserve">Załączamy również odpowiedź z województwa podkarpackiego, która również świadczy o wadze jaką zarząd województwa przywiązuje do weryfikacji zadań związanych z poprawą efektywności energetycznej, stosowaniem certyfikatów wystawianych przez jednostki badawcze akredytowane przez Polskie Centrum Akredytacji, </w:t>
      </w:r>
      <w:proofErr w:type="spellStart"/>
      <w:r>
        <w:t>etc</w:t>
      </w:r>
      <w:proofErr w:type="spellEnd"/>
      <w:r>
        <w:t> </w:t>
      </w:r>
    </w:p>
    <w:p w:rsidR="00BD1D00" w:rsidRDefault="00BD1D00" w:rsidP="00BD1D00">
      <w:r>
        <w:t xml:space="preserve">Jednakże rzeczona analiza - zdaniem Wnioskodawcy - w odróżnieniu od analizy Urzędu Marszałkowskiego Województwa Opolskiego - zbyt dużą wagę przywiązuje do zagadnień związanych z tzw. klasą 5 - wg. normy PN EN 303-5:2012, </w:t>
      </w:r>
      <w:proofErr w:type="spellStart"/>
      <w:r>
        <w:t>etc</w:t>
      </w:r>
      <w:proofErr w:type="spellEnd"/>
    </w:p>
    <w:p w:rsidR="00BD1D00" w:rsidRDefault="00BD1D00" w:rsidP="00BD1D00">
      <w:r>
        <w:lastRenderedPageBreak/>
        <w:t xml:space="preserve">Jak wiadomo urządzenia mogą spełniać rygorystyczne normy w pewnych warunkach -  ad exemplum w warunkach laboratoryjnych, natomiast w innych mogą je - a contrario -  drastycznie naruszać, </w:t>
      </w:r>
      <w:proofErr w:type="spellStart"/>
      <w:r>
        <w:t>etc</w:t>
      </w:r>
      <w:proofErr w:type="spellEnd"/>
      <w:r>
        <w:t> </w:t>
      </w:r>
    </w:p>
    <w:p w:rsidR="00BD1D00" w:rsidRDefault="00BD1D00" w:rsidP="00BD1D00"/>
    <w:p w:rsidR="00BD1D00" w:rsidRDefault="00BD1D00" w:rsidP="00BD1D00">
      <w:r>
        <w:t>w związku z powyższym: </w:t>
      </w:r>
    </w:p>
    <w:p w:rsidR="00BD1D00" w:rsidRDefault="00BD1D00" w:rsidP="00BD1D00"/>
    <w:p w:rsidR="00BD1D00" w:rsidRDefault="00BD1D00" w:rsidP="00BD1D00">
      <w:r>
        <w:t xml:space="preserve">§1) Na mocy art. 63 Konstytucji RP, w trybie Ustawy z dnia 11 lipca 2014 r. o petycjach (Dz.U.2014.1195 z dnia 2014.09.05) - </w:t>
      </w:r>
      <w:r>
        <w:rPr>
          <w:b/>
          <w:bCs/>
        </w:rPr>
        <w:t>wnosimy petycję o archiwizację w zasobach Urzędu -  niniejszego wniosku wraz z załącznikami - jako kolejny wkład do dyskusji o rzeczywistym znaczeniu pojęcia "efektywności energetycznej". </w:t>
      </w:r>
    </w:p>
    <w:p w:rsidR="00BD1D00" w:rsidRDefault="00BD1D00" w:rsidP="00BD1D00">
      <w:r>
        <w:t>Oczywiście bazą pojęcia "efektywności energetycznej" jest jej definicja ustawowa zawarta w art. 3 pkt. 1 Ustawy z dnia 15 kwietnia 2011 r. o efektywności energetycznej (Dz. U. z dnia 10 maja 2011 r. Dz.U.2011.94.551) oraz wykłada funkcjonalna rzeczonej ustawy.  </w:t>
      </w:r>
    </w:p>
    <w:p w:rsidR="00BD1D00" w:rsidRDefault="00BD1D00" w:rsidP="00BD1D00"/>
    <w:p w:rsidR="00401C87" w:rsidRDefault="00BD1D00" w:rsidP="00BD1D00">
      <w:r>
        <w:t xml:space="preserve">§2)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 </w:t>
      </w:r>
      <w:r w:rsidR="00401C87">
        <w:t>(…)</w:t>
      </w:r>
    </w:p>
    <w:p w:rsidR="00BD1D00" w:rsidRDefault="00401C87" w:rsidP="00BD1D00">
      <w:r>
        <w:t>W</w:t>
      </w:r>
      <w:r w:rsidR="00BD1D00">
        <w:t xml:space="preserve">nosimy o to, aby odpowiedź w  przedmiocie powyższych petycji złożonych na mocy art. 63 Konstytucji RP w trybie art. 221 i 241 KPA, została udzielona - zwrotnie na adres e-mail </w:t>
      </w:r>
      <w:r>
        <w:t>(…)</w:t>
      </w:r>
      <w:r w:rsidR="00BD1D00">
        <w:t xml:space="preserve"> stosownie do art. 244 §2 KPA.</w:t>
      </w:r>
    </w:p>
    <w:p w:rsidR="00BD1D00" w:rsidRDefault="00BD1D00" w:rsidP="00BD1D00">
      <w:r>
        <w:t>§4) Wniosek został sygnowany bezpiecznym, kwalifikowanym podpisem elektronicznym - stosownie do wytycznych Ustawy z dnia 18 września 2001 r. o podpisie elektronicznym (Dz. U. Nr 130 poz. 1450)</w:t>
      </w:r>
    </w:p>
    <w:p w:rsidR="00BD1D00" w:rsidRDefault="00BD1D00" w:rsidP="00BD1D00"/>
    <w:p w:rsidR="00401C87" w:rsidRDefault="00401C87" w:rsidP="00BD1D00">
      <w:r>
        <w:t>(…)</w:t>
      </w:r>
    </w:p>
    <w:p w:rsidR="00BD1D00" w:rsidRDefault="00BD1D00" w:rsidP="00BD1D00">
      <w:bookmarkStart w:id="0" w:name="_GoBack"/>
      <w:bookmarkEnd w:id="0"/>
    </w:p>
    <w:p w:rsidR="00BD1D00" w:rsidRDefault="00BD1D00" w:rsidP="00BD1D00">
      <w:r>
        <w:t>Dodatkowe informacje:</w:t>
      </w:r>
    </w:p>
    <w:p w:rsidR="00BD1D00" w:rsidRDefault="00BD1D00" w:rsidP="00BD1D00">
      <w:r>
        <w:t>Stosownie do art. 4 ust. 2 pkt. 1 Ustawy o petycjach (Dz.U.2014.1195 z dnia 2014.09.05) -  osobą reprezentująca Podmiot wnoszący petycję - jest Prezes Zarządu Adam Szulc </w:t>
      </w:r>
    </w:p>
    <w:p w:rsidR="00BD1D00" w:rsidRDefault="00BD1D00" w:rsidP="00BD1D00">
      <w:r>
        <w:t xml:space="preserve">Stosownie do art. 4 ust. 2 pkt. 5 ww. Ustawy - petycja niniejsza została złożona za pomocą środków komunikacji elektronicznej - a wskazanym zwrotnym adresem poczty elektronicznej jest: </w:t>
      </w:r>
      <w:hyperlink r:id="rId5" w:history="1">
        <w:r w:rsidR="00401C87">
          <w:rPr>
            <w:rStyle w:val="Hipercze"/>
          </w:rPr>
          <w:t>(…)</w:t>
        </w:r>
      </w:hyperlink>
      <w:r>
        <w:t> </w:t>
      </w:r>
    </w:p>
    <w:p w:rsidR="00BD1D00" w:rsidRDefault="00BD1D00" w:rsidP="00BD1D00">
      <w:r>
        <w:t>Adresatem Petycji - jest Organ ujawniony w komparycji. </w:t>
      </w:r>
    </w:p>
    <w:p w:rsidR="00BD1D00" w:rsidRDefault="00BD1D00" w:rsidP="00BD1D00"/>
    <w:p w:rsidR="00BD1D00" w:rsidRDefault="00BD1D00" w:rsidP="00BD1D00">
      <w: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 w szczególności dzieci i młodzieży.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:rsidR="00BD1D00" w:rsidRDefault="00BD1D00" w:rsidP="00BD1D00">
      <w:r>
        <w:t xml:space="preserve">- To że wnioskodawca powołuje </w:t>
      </w:r>
      <w:proofErr w:type="spellStart"/>
      <w:r>
        <w:t>sie</w:t>
      </w:r>
      <w:proofErr w:type="spellEnd"/>
      <w:r>
        <w:t xml:space="preserve"> na art. 241 KPA, nie oznacza że niniejszy wniosek należy procedować w trybie KPA.</w:t>
      </w:r>
    </w:p>
    <w:p w:rsidR="00BD1D00" w:rsidRDefault="00BD1D00" w:rsidP="00BD1D00">
      <w:r>
        <w:lastRenderedPageBreak/>
        <w:t>W mniemaniu Wnioskodawcy niniejszy wniosek powinien być procedowany w trybie Ustawy o petycjach - lub według oceny Urzędników. </w:t>
      </w:r>
    </w:p>
    <w:p w:rsidR="00BD1D00" w:rsidRDefault="00BD1D00" w:rsidP="00BD1D00">
      <w:r>
        <w:t>Rzeczony art. 241 KPA - mówi jedynie - expressis verbis - o konieczności usprawniania i ulepszania struktur administracji publicznej - za pomocą trybu wnioskowego.</w:t>
      </w:r>
    </w:p>
    <w:p w:rsidR="00BD1D00" w:rsidRDefault="00BD1D00" w:rsidP="00BD1D00">
      <w:r>
        <w:t>Niniejszy wniosek może być  rozpatrywany w trybie Ustawy z dnia 11 lipca 2014 r. o petycjach (Dz.U.2014.1195 z dnia 2014.09.05) - art. 241 KPA - podany jest dodatkowo - gdyż celem wniosku jest - sensu largo - usprawnienie, naprawa - na miarę istniejących możliwości - funkcjonowania struktur Administracji Publicznej. </w:t>
      </w:r>
    </w:p>
    <w:p w:rsidR="00BD1D00" w:rsidRDefault="00BD1D00" w:rsidP="00BD1D00">
      <w: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:rsidR="00BD1D00" w:rsidRDefault="00BD1D00" w:rsidP="00BD1D00">
      <w: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:rsidR="00BD1D00" w:rsidRDefault="00BD1D00" w:rsidP="00BD1D00">
      <w:r>
        <w:t>Jeżeli JST nie zgada się z powołanymi przepisami prawa, prosimy aby zastosowano podstawy prawne akceptowane przez JST.</w:t>
      </w:r>
    </w:p>
    <w:p w:rsidR="00BD1D00" w:rsidRDefault="00BD1D00" w:rsidP="00BD1D00">
      <w: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:rsidR="00BD1D00" w:rsidRDefault="00BD1D00" w:rsidP="00BD1D00">
      <w:r>
        <w:t>Z kolei w art. 241 KPA Ustawodawca zachęca do aktywności obywatelskiej, "Przedmiotem wniosku mogą być w szczególności sprawy ulepszenia organizacji, wzmocnienia praworządności, usprawnienia pracy i zapobiegania nadużyciom, ochrony własności, lepszego zaspokajania potrzeb ludności."</w:t>
      </w:r>
    </w:p>
    <w:p w:rsidR="00BD1D00" w:rsidRDefault="00BD1D00" w:rsidP="00BD1D00">
      <w:r>
        <w:t xml:space="preserve">Pamiętajmy również o przepisach zawartych </w:t>
      </w:r>
      <w:proofErr w:type="spellStart"/>
      <w:r>
        <w:t>inter</w:t>
      </w:r>
      <w:proofErr w:type="spellEnd"/>
      <w:r>
        <w:t xml:space="preserve"> </w:t>
      </w:r>
      <w:proofErr w:type="spellStart"/>
      <w:r>
        <w:t>alia</w:t>
      </w:r>
      <w:proofErr w:type="spellEnd"/>
      <w:r>
        <w:t xml:space="preserve">: w </w:t>
      </w:r>
      <w:r>
        <w:rPr>
          <w:b/>
          <w:bCs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>
        <w:t xml:space="preserve">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:rsidR="00BD1D00" w:rsidRDefault="00BD1D00" w:rsidP="00BD1D00">
      <w: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:rsidR="00BD1D00" w:rsidRDefault="00BD1D00" w:rsidP="00BD1D00">
      <w:r>
        <w:lastRenderedPageBreak/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:rsidR="00BD1D00" w:rsidRDefault="00BD1D00" w:rsidP="00BD1D00">
      <w:r>
        <w:t>Ponownie sygnalizujemy, że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:rsidR="00BD1D00" w:rsidRDefault="00BD1D00" w:rsidP="00BD1D00"/>
    <w:p w:rsidR="00BD1D00" w:rsidRDefault="00BD1D00" w:rsidP="00BD1D00"/>
    <w:p w:rsidR="00BD1D00" w:rsidRDefault="00BD1D00" w:rsidP="00BD1D00"/>
    <w:p w:rsidR="008C21FC" w:rsidRDefault="008C21FC"/>
    <w:sectPr w:rsidR="008C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00"/>
    <w:rsid w:val="00401C87"/>
    <w:rsid w:val="00640E7F"/>
    <w:rsid w:val="008C21FC"/>
    <w:rsid w:val="009D5FAA"/>
    <w:rsid w:val="00B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D00"/>
    <w:rPr>
      <w:rFonts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D00"/>
    <w:rPr>
      <w:rFonts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fektywnosc-energetyczna@samorza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1477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Zieliński</dc:creator>
  <cp:lastModifiedBy>Ryszard Zieliński</cp:lastModifiedBy>
  <cp:revision>1</cp:revision>
  <cp:lastPrinted>2016-07-20T12:27:00Z</cp:lastPrinted>
  <dcterms:created xsi:type="dcterms:W3CDTF">2016-07-20T12:10:00Z</dcterms:created>
  <dcterms:modified xsi:type="dcterms:W3CDTF">2016-07-20T12:34:00Z</dcterms:modified>
</cp:coreProperties>
</file>