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C1E" w:rsidRDefault="006C58CC" w:rsidP="00E616C0">
      <w:pPr>
        <w:pStyle w:val="Nagwek3"/>
      </w:pPr>
      <w:r>
        <w:t xml:space="preserve">Moduł </w:t>
      </w:r>
      <w:proofErr w:type="spellStart"/>
      <w:r>
        <w:t>Geoportal</w:t>
      </w:r>
      <w:proofErr w:type="spellEnd"/>
      <w:r>
        <w:t xml:space="preserve"> (GEO)</w:t>
      </w:r>
      <w:bookmarkStart w:id="0" w:name="_GoBack"/>
      <w:bookmarkEnd w:id="0"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eastAsia="Calibri" w:cs="Arial"/>
                <w:lang w:eastAsia="pl-PL"/>
              </w:rPr>
            </w:pPr>
            <w:proofErr w:type="spellStart"/>
            <w:r>
              <w:rPr>
                <w:rFonts w:eastAsia="Calibri" w:cs="Arial"/>
                <w:lang w:eastAsia="pl-PL"/>
              </w:rPr>
              <w:t>Geoportal</w:t>
            </w:r>
            <w:proofErr w:type="spellEnd"/>
            <w:r>
              <w:rPr>
                <w:rFonts w:eastAsia="Calibri" w:cs="Arial"/>
                <w:lang w:eastAsia="pl-PL"/>
              </w:rPr>
              <w:t xml:space="preserve"> musi zapewniać integrację danych przestrzennych zgromadzonych w Systemie.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GEO.WF.</w:t>
            </w:r>
            <w:r w:rsidR="003B3DC1">
              <w:rPr>
                <w:rFonts w:cs="Arial"/>
                <w:b/>
                <w:lang w:val="en-US" w:eastAsia="zh-CN" w:bidi="ar"/>
              </w:rPr>
              <w:t xml:space="preserve"> </w:t>
            </w:r>
            <w:r w:rsidR="003B3DC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3B3DC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3B3DC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002</w:t>
            </w:r>
            <w:r w:rsidR="003B3DC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eastAsia="Calibri" w:cs="Arial"/>
                <w:lang w:eastAsia="pl-PL"/>
              </w:rPr>
            </w:pPr>
            <w:proofErr w:type="spellStart"/>
            <w:r>
              <w:rPr>
                <w:rFonts w:eastAsia="Calibri" w:cs="Arial"/>
                <w:lang w:eastAsia="pl-PL"/>
              </w:rPr>
              <w:t>Geoportal</w:t>
            </w:r>
            <w:proofErr w:type="spellEnd"/>
            <w:r>
              <w:rPr>
                <w:rFonts w:eastAsia="Calibri" w:cs="Arial"/>
                <w:lang w:eastAsia="pl-PL"/>
              </w:rPr>
              <w:t xml:space="preserve"> musi umożliwiać przeglądanie dowolnych danych przestrzennych w formie portalu mapowego.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GEO.WF.</w:t>
            </w:r>
            <w:r w:rsidR="003B3DC1">
              <w:rPr>
                <w:rFonts w:cs="Arial"/>
                <w:b/>
                <w:lang w:val="en-US" w:eastAsia="zh-CN" w:bidi="ar"/>
              </w:rPr>
              <w:t xml:space="preserve"> </w:t>
            </w:r>
            <w:r w:rsidR="003B3DC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3B3DC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3B3DC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003</w:t>
            </w:r>
            <w:r w:rsidR="003B3DC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 w:line="240" w:lineRule="auto"/>
              <w:rPr>
                <w:rFonts w:eastAsia="Calibri" w:cs="Arial"/>
                <w:lang w:eastAsia="pl-PL"/>
              </w:rPr>
            </w:pPr>
            <w:proofErr w:type="spellStart"/>
            <w:r>
              <w:rPr>
                <w:rFonts w:eastAsia="Calibri" w:cs="Arial"/>
                <w:lang w:eastAsia="pl-PL"/>
              </w:rPr>
              <w:t>Geoportal</w:t>
            </w:r>
            <w:proofErr w:type="spellEnd"/>
            <w:r>
              <w:rPr>
                <w:rFonts w:eastAsia="Calibri" w:cs="Arial"/>
                <w:lang w:eastAsia="pl-PL"/>
              </w:rPr>
              <w:t xml:space="preserve"> musi umożliwiać prezentację dowolnych danych będących w posiadaniu Zamawiającego m.in. zagospodarowanie przestrzenne (plany</w:t>
            </w:r>
            <w:r w:rsidR="003B3DC1">
              <w:rPr>
                <w:rFonts w:eastAsia="Calibri" w:cs="Arial"/>
                <w:lang w:eastAsia="pl-PL"/>
              </w:rPr>
              <w:t xml:space="preserve"> - </w:t>
            </w:r>
            <w:proofErr w:type="spellStart"/>
            <w:r w:rsidR="003B3DC1">
              <w:rPr>
                <w:rFonts w:eastAsia="Calibri" w:cs="Arial"/>
                <w:lang w:eastAsia="pl-PL"/>
              </w:rPr>
              <w:t>mpzp</w:t>
            </w:r>
            <w:proofErr w:type="spellEnd"/>
            <w:r>
              <w:rPr>
                <w:rFonts w:eastAsia="Calibri" w:cs="Arial"/>
                <w:lang w:eastAsia="pl-PL"/>
              </w:rPr>
              <w:t xml:space="preserve"> i studium), działki, </w:t>
            </w:r>
            <w:proofErr w:type="spellStart"/>
            <w:r>
              <w:rPr>
                <w:rFonts w:eastAsia="Calibri" w:cs="Arial"/>
                <w:lang w:eastAsia="pl-PL"/>
              </w:rPr>
              <w:t>EMUiA</w:t>
            </w:r>
            <w:proofErr w:type="spellEnd"/>
            <w:r w:rsidR="00E616C0">
              <w:rPr>
                <w:rFonts w:eastAsia="Calibri" w:cs="Arial"/>
                <w:lang w:eastAsia="pl-PL"/>
              </w:rPr>
              <w:t xml:space="preserve"> (</w:t>
            </w:r>
            <w:proofErr w:type="spellStart"/>
            <w:r w:rsidR="00E616C0">
              <w:rPr>
                <w:rFonts w:eastAsia="Calibri" w:cs="Arial"/>
                <w:lang w:eastAsia="pl-PL"/>
              </w:rPr>
              <w:t>iMPA</w:t>
            </w:r>
            <w:proofErr w:type="spellEnd"/>
            <w:r w:rsidR="00E616C0">
              <w:rPr>
                <w:rFonts w:eastAsia="Calibri" w:cs="Arial"/>
                <w:lang w:eastAsia="pl-PL"/>
              </w:rPr>
              <w:t xml:space="preserve"> </w:t>
            </w:r>
            <w:proofErr w:type="spellStart"/>
            <w:r w:rsidR="00E616C0">
              <w:rPr>
                <w:rFonts w:eastAsia="Calibri" w:cs="Arial"/>
                <w:lang w:eastAsia="pl-PL"/>
              </w:rPr>
              <w:t>Geosystem</w:t>
            </w:r>
            <w:proofErr w:type="spellEnd"/>
            <w:r w:rsidR="00E616C0">
              <w:rPr>
                <w:rFonts w:eastAsia="Calibri" w:cs="Arial"/>
                <w:lang w:eastAsia="pl-PL"/>
              </w:rPr>
              <w:t>)</w:t>
            </w:r>
            <w:r>
              <w:rPr>
                <w:rFonts w:eastAsia="Calibri" w:cs="Arial"/>
                <w:lang w:eastAsia="pl-PL"/>
              </w:rPr>
              <w:t>, sieć drogowa</w:t>
            </w:r>
            <w:r w:rsidR="00E616C0">
              <w:rPr>
                <w:rFonts w:eastAsia="Calibri" w:cs="Arial"/>
                <w:lang w:eastAsia="pl-PL"/>
              </w:rPr>
              <w:t xml:space="preserve"> (</w:t>
            </w:r>
            <w:r w:rsidR="00E616C0">
              <w:rPr>
                <w:rFonts w:eastAsia="Arial" w:cs="Arial"/>
              </w:rPr>
              <w:t>Lehman-Partners</w:t>
            </w:r>
            <w:r w:rsidR="00E616C0">
              <w:rPr>
                <w:rFonts w:eastAsia="Arial" w:cs="Arial"/>
              </w:rPr>
              <w:t>)</w:t>
            </w:r>
            <w:r>
              <w:rPr>
                <w:rFonts w:eastAsia="Calibri" w:cs="Arial"/>
                <w:lang w:eastAsia="pl-PL"/>
              </w:rPr>
              <w:t xml:space="preserve">, a także </w:t>
            </w:r>
            <w:proofErr w:type="spellStart"/>
            <w:r>
              <w:rPr>
                <w:rFonts w:eastAsia="Calibri" w:cs="Arial"/>
                <w:lang w:eastAsia="pl-PL"/>
              </w:rPr>
              <w:t>zdigitalizowanych</w:t>
            </w:r>
            <w:proofErr w:type="spellEnd"/>
            <w:r>
              <w:rPr>
                <w:rFonts w:eastAsia="Calibri" w:cs="Arial"/>
                <w:lang w:eastAsia="pl-PL"/>
              </w:rPr>
              <w:t xml:space="preserve"> w ramach zamówienia danych oraz danych dostarczonych przez Zamawiającego (wektorowych lub rastrowych).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tabs>
                <w:tab w:val="left" w:pos="8245"/>
              </w:tabs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Integracja danych przestrzennych musi być realizowana poprzez publikację definiowanych przez administratora Systemu map tematycznych.</w:t>
            </w:r>
            <w:r>
              <w:tab/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eastAsia="Calibri" w:cs="Arial"/>
                <w:lang w:eastAsia="pl-PL"/>
              </w:rPr>
              <w:t>Geoportal</w:t>
            </w:r>
            <w:proofErr w:type="spellEnd"/>
            <w:r>
              <w:rPr>
                <w:rFonts w:eastAsia="Calibri" w:cs="Arial"/>
                <w:lang w:eastAsia="pl-PL"/>
              </w:rPr>
              <w:t xml:space="preserve"> musi umożliwiać przeglądanie danych (minimum WMS), pobieranie danych (minimum WFS)</w:t>
            </w:r>
            <w:r w:rsidR="003B3DC1">
              <w:rPr>
                <w:rFonts w:eastAsia="Calibri" w:cs="Arial"/>
                <w:lang w:eastAsia="pl-PL"/>
              </w:rPr>
              <w:t>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 w:rsidP="008A185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>Wykonawca w ramach Zamówienia stworzy mapy tematyczne</w:t>
            </w:r>
            <w:r w:rsidR="008A185D">
              <w:rPr>
                <w:rFonts w:eastAsia="Calibri" w:cs="Arial"/>
                <w:lang w:eastAsia="pl-PL"/>
              </w:rPr>
              <w:t xml:space="preserve"> z możliwością ich hierarchizacji i grupowanie. Wyświetlanie warstw mapy musi odbywać się za pomocą przycisków</w:t>
            </w:r>
            <w:r w:rsidR="003B3DC1">
              <w:rPr>
                <w:rFonts w:eastAsia="Calibri" w:cs="Arial"/>
                <w:lang w:eastAsia="pl-PL"/>
              </w:rPr>
              <w:t xml:space="preserve"> wyboru</w:t>
            </w:r>
            <w:r w:rsidR="008A185D">
              <w:rPr>
                <w:rFonts w:eastAsia="Calibri" w:cs="Arial"/>
                <w:lang w:eastAsia="pl-PL"/>
              </w:rPr>
              <w:t xml:space="preserve"> (ang. </w:t>
            </w:r>
            <w:proofErr w:type="spellStart"/>
            <w:r w:rsidR="008A185D">
              <w:rPr>
                <w:rFonts w:eastAsia="Calibri" w:cs="Arial"/>
                <w:lang w:eastAsia="pl-PL"/>
              </w:rPr>
              <w:t>check</w:t>
            </w:r>
            <w:proofErr w:type="spellEnd"/>
            <w:r w:rsidR="008A185D">
              <w:rPr>
                <w:rFonts w:eastAsia="Calibri" w:cs="Arial"/>
                <w:lang w:eastAsia="pl-PL"/>
              </w:rPr>
              <w:t xml:space="preserve"> </w:t>
            </w:r>
            <w:proofErr w:type="spellStart"/>
            <w:r w:rsidR="008A185D">
              <w:rPr>
                <w:rFonts w:eastAsia="Calibri" w:cs="Arial"/>
                <w:lang w:eastAsia="pl-PL"/>
              </w:rPr>
              <w:t>box</w:t>
            </w:r>
            <w:proofErr w:type="spellEnd"/>
            <w:r w:rsidR="008A185D">
              <w:rPr>
                <w:rFonts w:eastAsia="Calibri" w:cs="Arial"/>
                <w:lang w:eastAsia="pl-PL"/>
              </w:rPr>
              <w:t>), zaznaczenia</w:t>
            </w:r>
            <w:r w:rsidR="003B3DC1">
              <w:rPr>
                <w:rFonts w:eastAsia="Calibri" w:cs="Arial"/>
                <w:lang w:eastAsia="pl-PL"/>
              </w:rPr>
              <w:t xml:space="preserve"> (</w:t>
            </w:r>
            <w:r>
              <w:rPr>
                <w:rFonts w:eastAsia="Calibri" w:cs="Arial"/>
                <w:lang w:eastAsia="pl-PL"/>
              </w:rPr>
              <w:t>włączanie/wyłączanie całej grupy zestawu mapowego).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umożliwiać udostępnianie usług WMS i WFS dla dowolnych zasobów udostępnianych na </w:t>
            </w:r>
            <w:proofErr w:type="spellStart"/>
            <w:r>
              <w:rPr>
                <w:rFonts w:cs="Arial"/>
                <w:lang w:eastAsia="pl"/>
              </w:rPr>
              <w:t>geoportalu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posiadać funkcje nawigacji po mapie co najmniej:</w:t>
            </w:r>
          </w:p>
          <w:p w:rsidR="00E71C1E" w:rsidRDefault="006C58C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przesuwanie/powiększanie/pomniejszanie mapy;</w:t>
            </w:r>
          </w:p>
          <w:p w:rsidR="00E71C1E" w:rsidRDefault="006C58C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suwak „powiększania/pomniejszania” musi posiadać również przyciski „+” i „-”;</w:t>
            </w:r>
          </w:p>
          <w:p w:rsidR="00E71C1E" w:rsidRDefault="006C58C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zmiany skali;</w:t>
            </w:r>
          </w:p>
          <w:p w:rsidR="00E71C1E" w:rsidRDefault="006C58C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nawigacja: poprzedni widok, kolejny widok, pełny widok zasięgu serwisów.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posiadać funkcje pomiarów na mapie co najmniej:</w:t>
            </w:r>
          </w:p>
          <w:p w:rsidR="00E71C1E" w:rsidRDefault="006C58CC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pomiar odległości – możliwość pomiaru linii w metrach (z dokładnością do min 2 miejsc po przecinku) oraz kilometrach (z dokładnością do min 3 miejsc po przecinku);</w:t>
            </w:r>
          </w:p>
          <w:p w:rsidR="00E71C1E" w:rsidRDefault="006C58CC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wyświetlanie na mierzonym odcinku miar pośrednich i miary końcowej;</w:t>
            </w:r>
          </w:p>
          <w:p w:rsidR="00E71C1E" w:rsidRDefault="006C58CC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wynik zakończonego pomiaru musi się wyświetlać bezpośrednio w oknie mapy na powstałym obiekcie.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umożliwiać wyszukiwanie obiektów na mapie działek ewidencyjnych i punktów adresowych.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posiadać funkcje odczytywania informacji i działce na mapie co najmniej:</w:t>
            </w:r>
          </w:p>
          <w:p w:rsidR="00E71C1E" w:rsidRDefault="006C58C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otwarcie okienka informacyjnego o działce po kliknięciu w dowolny obszar na mapie;</w:t>
            </w:r>
          </w:p>
          <w:p w:rsidR="00E71C1E" w:rsidRDefault="006C58C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odczyt wartości z części opisowej danych przestrzennych (zakres danych do odczytu zostanie uzgodniony z Zamawiającym podczas realizacji);</w:t>
            </w:r>
          </w:p>
          <w:p w:rsidR="00E71C1E" w:rsidRDefault="006C58C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odczyt załączników graficznych (np. zdjęć obiektów) przypisanych do obiektów/działek na mapie.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umożliwiać zmiany podkładów mapowych z co najmniej następujących:</w:t>
            </w:r>
          </w:p>
          <w:p w:rsidR="00E71C1E" w:rsidRDefault="006C58CC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Open </w:t>
            </w:r>
            <w:proofErr w:type="spellStart"/>
            <w:r>
              <w:rPr>
                <w:rFonts w:cs="Arial"/>
                <w:lang w:eastAsia="pl"/>
              </w:rPr>
              <w:t>St</w:t>
            </w:r>
            <w:r w:rsidR="008A185D">
              <w:rPr>
                <w:rFonts w:cs="Arial"/>
                <w:lang w:eastAsia="pl"/>
              </w:rPr>
              <w:t>r</w:t>
            </w:r>
            <w:r>
              <w:rPr>
                <w:rFonts w:cs="Arial"/>
                <w:lang w:eastAsia="pl"/>
              </w:rPr>
              <w:t>eet</w:t>
            </w:r>
            <w:proofErr w:type="spellEnd"/>
            <w:r>
              <w:rPr>
                <w:rFonts w:cs="Arial"/>
                <w:lang w:eastAsia="pl"/>
              </w:rPr>
              <w:t xml:space="preserve"> Mapa;</w:t>
            </w:r>
          </w:p>
          <w:p w:rsidR="00E71C1E" w:rsidRDefault="006C58CC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Ortofotomapa</w:t>
            </w:r>
            <w:proofErr w:type="spellEnd"/>
            <w:r>
              <w:rPr>
                <w:rFonts w:cs="Arial"/>
                <w:lang w:eastAsia="pl"/>
              </w:rPr>
              <w:t xml:space="preserve"> Geoportal2;</w:t>
            </w:r>
          </w:p>
          <w:p w:rsidR="00E71C1E" w:rsidRDefault="006C58CC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Ochrona środowiska GDOŚ.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świadczyć wymagane prawem serwisy WMS, WFS oraz CSV.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musi umożliwiać zmiany przezroczystości (np. suwakiem) wczytanych danych.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 do określonych map tematycznych musi być autoryzowany - wgląd w mapy tematyczne musi być dostępny tylko dla Użytkowników posiadających odpowiednie uprawnienia. Musi istnieć możliwość udzielenia otwartego dostępu do części zasobów również dla zewnętrznych użytkowników (konfigurowalne, które warstwy są upublicznione).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powinien zapewniać dostęp on-line do szczegółowej informacji zawartej w Systemie w przypadku, gdy Użytkownik posiada stosowane uprawnienia w Systemie.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 do szczegółowej informacji z poziomu mapy realizowany musi być poprzez uruchomienie interfejsu Systemu zawierające szczegółowe informacje o obiekcie wskazanym na mapie.</w:t>
            </w:r>
            <w:r>
              <w:rPr>
                <w:rFonts w:cs="Arial"/>
                <w:lang w:eastAsia="pl"/>
              </w:rPr>
              <w:t xml:space="preserve"> 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Moduł </w:t>
            </w: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zapewniał użytkownikom publicznym całodobowy i nielimitowany dostęp do wszystkich ogólnodostępnych zasobów przez dowolną graficzną przeglądarkę internetową z obsługą HTML 5, bez konieczności instalowania dodatkowego płatnego oprogramowania i konfiguracji sprzętu.</w:t>
            </w:r>
          </w:p>
        </w:tc>
      </w:tr>
    </w:tbl>
    <w:p w:rsidR="00E71C1E" w:rsidRDefault="00E71C1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71C1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71C1E" w:rsidRDefault="006C58C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GEO.WF.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616C0"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71C1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71C1E" w:rsidRDefault="006C58C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Moduł </w:t>
            </w:r>
            <w:proofErr w:type="spellStart"/>
            <w:r>
              <w:rPr>
                <w:rFonts w:cs="Arial"/>
                <w:lang w:eastAsia="pl"/>
              </w:rPr>
              <w:t>Geoportal</w:t>
            </w:r>
            <w:proofErr w:type="spellEnd"/>
            <w:r>
              <w:rPr>
                <w:rFonts w:cs="Arial"/>
                <w:lang w:eastAsia="pl"/>
              </w:rPr>
              <w:t xml:space="preserve"> składał się z części ogólnodostępnej wszystkim użytkownikom Internetu oraz z części administracyjnej (wewnętrznej), przeznaczonej do zarządzania i edytowania, dostępnej wyłącznie dla użytkowników</w:t>
            </w:r>
            <w:r>
              <w:rPr>
                <w:rFonts w:ascii="Cambria Math" w:hAnsi="Cambria Math" w:cs="Cambria Math"/>
                <w:lang w:eastAsia="pl"/>
              </w:rPr>
              <w:t>‐</w:t>
            </w:r>
            <w:r>
              <w:rPr>
                <w:rFonts w:cs="Arial"/>
                <w:lang w:eastAsia="pl"/>
              </w:rPr>
              <w:t>administratorów wyznaczonych przez Zamawiającego.</w:t>
            </w:r>
          </w:p>
        </w:tc>
      </w:tr>
    </w:tbl>
    <w:p w:rsidR="00E71C1E" w:rsidRDefault="00E71C1E">
      <w:pPr>
        <w:spacing w:after="0"/>
      </w:pPr>
    </w:p>
    <w:sectPr w:rsidR="00E71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  <w15:commentEx w15:paraId="0000000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F7D1B11"/>
  <w16cid:commentId w16cid:paraId="00000004" w16cid:durableId="420F919C"/>
  <w16cid:commentId w16cid:paraId="00000008" w16cid:durableId="A2107E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16" w:rsidRDefault="00BF2F16">
      <w:pPr>
        <w:spacing w:after="0" w:line="240" w:lineRule="auto"/>
      </w:pPr>
      <w:r>
        <w:separator/>
      </w:r>
    </w:p>
  </w:endnote>
  <w:endnote w:type="continuationSeparator" w:id="0">
    <w:p w:rsidR="00BF2F16" w:rsidRDefault="00BF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16" w:rsidRDefault="00BF2F16">
      <w:pPr>
        <w:spacing w:after="0" w:line="240" w:lineRule="auto"/>
      </w:pPr>
      <w:r>
        <w:separator/>
      </w:r>
    </w:p>
  </w:footnote>
  <w:footnote w:type="continuationSeparator" w:id="0">
    <w:p w:rsidR="00BF2F16" w:rsidRDefault="00BF2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70A"/>
    <w:multiLevelType w:val="hybridMultilevel"/>
    <w:tmpl w:val="E37ED76A"/>
    <w:lvl w:ilvl="0" w:tplc="B62C6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A5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A6A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00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4B7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7066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A45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981C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EC0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44833"/>
    <w:multiLevelType w:val="hybridMultilevel"/>
    <w:tmpl w:val="097C4328"/>
    <w:lvl w:ilvl="0" w:tplc="A35C9AAE">
      <w:start w:val="1"/>
      <w:numFmt w:val="lowerLetter"/>
      <w:lvlText w:val="%1)"/>
      <w:lvlJc w:val="left"/>
      <w:pPr>
        <w:ind w:left="360" w:hanging="360"/>
      </w:pPr>
    </w:lvl>
    <w:lvl w:ilvl="1" w:tplc="A5B6B6D0">
      <w:start w:val="1"/>
      <w:numFmt w:val="lowerLetter"/>
      <w:lvlText w:val="%2."/>
      <w:lvlJc w:val="left"/>
      <w:pPr>
        <w:ind w:left="1080" w:hanging="360"/>
      </w:pPr>
    </w:lvl>
    <w:lvl w:ilvl="2" w:tplc="DFB6E4F6">
      <w:start w:val="1"/>
      <w:numFmt w:val="lowerRoman"/>
      <w:lvlText w:val="%3."/>
      <w:lvlJc w:val="right"/>
      <w:pPr>
        <w:ind w:left="1800" w:hanging="180"/>
      </w:pPr>
    </w:lvl>
    <w:lvl w:ilvl="3" w:tplc="4C2A7A40">
      <w:start w:val="1"/>
      <w:numFmt w:val="decimal"/>
      <w:lvlText w:val="%4."/>
      <w:lvlJc w:val="left"/>
      <w:pPr>
        <w:ind w:left="2520" w:hanging="360"/>
      </w:pPr>
    </w:lvl>
    <w:lvl w:ilvl="4" w:tplc="79181148">
      <w:start w:val="1"/>
      <w:numFmt w:val="lowerLetter"/>
      <w:lvlText w:val="%5."/>
      <w:lvlJc w:val="left"/>
      <w:pPr>
        <w:ind w:left="3240" w:hanging="360"/>
      </w:pPr>
    </w:lvl>
    <w:lvl w:ilvl="5" w:tplc="52A035F6">
      <w:start w:val="1"/>
      <w:numFmt w:val="lowerRoman"/>
      <w:lvlText w:val="%6."/>
      <w:lvlJc w:val="right"/>
      <w:pPr>
        <w:ind w:left="3960" w:hanging="180"/>
      </w:pPr>
    </w:lvl>
    <w:lvl w:ilvl="6" w:tplc="8AD0F15E">
      <w:start w:val="1"/>
      <w:numFmt w:val="decimal"/>
      <w:lvlText w:val="%7."/>
      <w:lvlJc w:val="left"/>
      <w:pPr>
        <w:ind w:left="4680" w:hanging="360"/>
      </w:pPr>
    </w:lvl>
    <w:lvl w:ilvl="7" w:tplc="5F3CFDAA">
      <w:start w:val="1"/>
      <w:numFmt w:val="lowerLetter"/>
      <w:lvlText w:val="%8."/>
      <w:lvlJc w:val="left"/>
      <w:pPr>
        <w:ind w:left="5400" w:hanging="360"/>
      </w:pPr>
    </w:lvl>
    <w:lvl w:ilvl="8" w:tplc="11C874D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D4587"/>
    <w:multiLevelType w:val="hybridMultilevel"/>
    <w:tmpl w:val="321CBEC2"/>
    <w:lvl w:ilvl="0" w:tplc="9BD49B42">
      <w:start w:val="1"/>
      <w:numFmt w:val="lowerLetter"/>
      <w:lvlText w:val="%1)"/>
      <w:lvlJc w:val="left"/>
      <w:pPr>
        <w:ind w:left="360" w:hanging="360"/>
      </w:pPr>
    </w:lvl>
    <w:lvl w:ilvl="1" w:tplc="A4362290">
      <w:start w:val="1"/>
      <w:numFmt w:val="lowerLetter"/>
      <w:lvlText w:val="%2."/>
      <w:lvlJc w:val="left"/>
      <w:pPr>
        <w:ind w:left="1080" w:hanging="360"/>
      </w:pPr>
    </w:lvl>
    <w:lvl w:ilvl="2" w:tplc="48844F72">
      <w:start w:val="1"/>
      <w:numFmt w:val="lowerRoman"/>
      <w:lvlText w:val="%3."/>
      <w:lvlJc w:val="right"/>
      <w:pPr>
        <w:ind w:left="1800" w:hanging="180"/>
      </w:pPr>
    </w:lvl>
    <w:lvl w:ilvl="3" w:tplc="49E08D40">
      <w:start w:val="1"/>
      <w:numFmt w:val="decimal"/>
      <w:lvlText w:val="%4."/>
      <w:lvlJc w:val="left"/>
      <w:pPr>
        <w:ind w:left="2520" w:hanging="360"/>
      </w:pPr>
    </w:lvl>
    <w:lvl w:ilvl="4" w:tplc="59323150">
      <w:start w:val="1"/>
      <w:numFmt w:val="lowerLetter"/>
      <w:lvlText w:val="%5."/>
      <w:lvlJc w:val="left"/>
      <w:pPr>
        <w:ind w:left="3240" w:hanging="360"/>
      </w:pPr>
    </w:lvl>
    <w:lvl w:ilvl="5" w:tplc="43E03C36">
      <w:start w:val="1"/>
      <w:numFmt w:val="lowerRoman"/>
      <w:lvlText w:val="%6."/>
      <w:lvlJc w:val="right"/>
      <w:pPr>
        <w:ind w:left="3960" w:hanging="180"/>
      </w:pPr>
    </w:lvl>
    <w:lvl w:ilvl="6" w:tplc="6F72EEC4">
      <w:start w:val="1"/>
      <w:numFmt w:val="decimal"/>
      <w:lvlText w:val="%7."/>
      <w:lvlJc w:val="left"/>
      <w:pPr>
        <w:ind w:left="4680" w:hanging="360"/>
      </w:pPr>
    </w:lvl>
    <w:lvl w:ilvl="7" w:tplc="84F88A0C">
      <w:start w:val="1"/>
      <w:numFmt w:val="lowerLetter"/>
      <w:lvlText w:val="%8."/>
      <w:lvlJc w:val="left"/>
      <w:pPr>
        <w:ind w:left="5400" w:hanging="360"/>
      </w:pPr>
    </w:lvl>
    <w:lvl w:ilvl="8" w:tplc="8C202A12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A84567"/>
    <w:multiLevelType w:val="hybridMultilevel"/>
    <w:tmpl w:val="62BACFEC"/>
    <w:lvl w:ilvl="0" w:tplc="519410C8">
      <w:start w:val="1"/>
      <w:numFmt w:val="lowerLetter"/>
      <w:lvlText w:val="%1)"/>
      <w:lvlJc w:val="left"/>
      <w:pPr>
        <w:ind w:left="360" w:hanging="360"/>
      </w:pPr>
    </w:lvl>
    <w:lvl w:ilvl="1" w:tplc="0660CCA2">
      <w:start w:val="1"/>
      <w:numFmt w:val="lowerLetter"/>
      <w:lvlText w:val="%2."/>
      <w:lvlJc w:val="left"/>
      <w:pPr>
        <w:ind w:left="1080" w:hanging="360"/>
      </w:pPr>
    </w:lvl>
    <w:lvl w:ilvl="2" w:tplc="FA007FB4">
      <w:start w:val="1"/>
      <w:numFmt w:val="lowerRoman"/>
      <w:lvlText w:val="%3."/>
      <w:lvlJc w:val="right"/>
      <w:pPr>
        <w:ind w:left="1800" w:hanging="180"/>
      </w:pPr>
    </w:lvl>
    <w:lvl w:ilvl="3" w:tplc="A4D40BA6">
      <w:start w:val="1"/>
      <w:numFmt w:val="decimal"/>
      <w:lvlText w:val="%4."/>
      <w:lvlJc w:val="left"/>
      <w:pPr>
        <w:ind w:left="2520" w:hanging="360"/>
      </w:pPr>
    </w:lvl>
    <w:lvl w:ilvl="4" w:tplc="52889AD8">
      <w:start w:val="1"/>
      <w:numFmt w:val="lowerLetter"/>
      <w:lvlText w:val="%5."/>
      <w:lvlJc w:val="left"/>
      <w:pPr>
        <w:ind w:left="3240" w:hanging="360"/>
      </w:pPr>
    </w:lvl>
    <w:lvl w:ilvl="5" w:tplc="DDB03AFA">
      <w:start w:val="1"/>
      <w:numFmt w:val="lowerRoman"/>
      <w:lvlText w:val="%6."/>
      <w:lvlJc w:val="right"/>
      <w:pPr>
        <w:ind w:left="3960" w:hanging="180"/>
      </w:pPr>
    </w:lvl>
    <w:lvl w:ilvl="6" w:tplc="F63856E2">
      <w:start w:val="1"/>
      <w:numFmt w:val="decimal"/>
      <w:lvlText w:val="%7."/>
      <w:lvlJc w:val="left"/>
      <w:pPr>
        <w:ind w:left="4680" w:hanging="360"/>
      </w:pPr>
    </w:lvl>
    <w:lvl w:ilvl="7" w:tplc="70644096">
      <w:start w:val="1"/>
      <w:numFmt w:val="lowerLetter"/>
      <w:lvlText w:val="%8."/>
      <w:lvlJc w:val="left"/>
      <w:pPr>
        <w:ind w:left="5400" w:hanging="360"/>
      </w:pPr>
    </w:lvl>
    <w:lvl w:ilvl="8" w:tplc="16DC737A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0D56C5"/>
    <w:multiLevelType w:val="multilevel"/>
    <w:tmpl w:val="2E62E522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5">
    <w:nsid w:val="33C54680"/>
    <w:multiLevelType w:val="hybridMultilevel"/>
    <w:tmpl w:val="AEDA90DE"/>
    <w:lvl w:ilvl="0" w:tplc="17F2FE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5F8F88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DD813C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9E4C1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A4B98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D42550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4F4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0281E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F4CEE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C261F56"/>
    <w:multiLevelType w:val="hybridMultilevel"/>
    <w:tmpl w:val="AD08BAEE"/>
    <w:lvl w:ilvl="0" w:tplc="C3E23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4EF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6E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E3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EE60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C001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09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86BB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083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303C14"/>
    <w:multiLevelType w:val="hybridMultilevel"/>
    <w:tmpl w:val="0680989C"/>
    <w:lvl w:ilvl="0" w:tplc="1DD24460">
      <w:start w:val="1"/>
      <w:numFmt w:val="lowerLetter"/>
      <w:lvlText w:val="%1)"/>
      <w:lvlJc w:val="left"/>
      <w:pPr>
        <w:ind w:left="360" w:hanging="360"/>
      </w:pPr>
    </w:lvl>
    <w:lvl w:ilvl="1" w:tplc="7666AFC2">
      <w:start w:val="1"/>
      <w:numFmt w:val="lowerLetter"/>
      <w:lvlText w:val="%2."/>
      <w:lvlJc w:val="left"/>
      <w:pPr>
        <w:ind w:left="1080" w:hanging="360"/>
      </w:pPr>
    </w:lvl>
    <w:lvl w:ilvl="2" w:tplc="33FEEE02">
      <w:start w:val="1"/>
      <w:numFmt w:val="lowerRoman"/>
      <w:lvlText w:val="%3."/>
      <w:lvlJc w:val="right"/>
      <w:pPr>
        <w:ind w:left="1800" w:hanging="180"/>
      </w:pPr>
    </w:lvl>
    <w:lvl w:ilvl="3" w:tplc="522E1468">
      <w:start w:val="1"/>
      <w:numFmt w:val="decimal"/>
      <w:lvlText w:val="%4."/>
      <w:lvlJc w:val="left"/>
      <w:pPr>
        <w:ind w:left="2520" w:hanging="360"/>
      </w:pPr>
    </w:lvl>
    <w:lvl w:ilvl="4" w:tplc="3314D3F6">
      <w:start w:val="1"/>
      <w:numFmt w:val="lowerLetter"/>
      <w:lvlText w:val="%5."/>
      <w:lvlJc w:val="left"/>
      <w:pPr>
        <w:ind w:left="3240" w:hanging="360"/>
      </w:pPr>
    </w:lvl>
    <w:lvl w:ilvl="5" w:tplc="21E499CC">
      <w:start w:val="1"/>
      <w:numFmt w:val="lowerRoman"/>
      <w:lvlText w:val="%6."/>
      <w:lvlJc w:val="right"/>
      <w:pPr>
        <w:ind w:left="3960" w:hanging="180"/>
      </w:pPr>
    </w:lvl>
    <w:lvl w:ilvl="6" w:tplc="B6961F28">
      <w:start w:val="1"/>
      <w:numFmt w:val="decimal"/>
      <w:lvlText w:val="%7."/>
      <w:lvlJc w:val="left"/>
      <w:pPr>
        <w:ind w:left="4680" w:hanging="360"/>
      </w:pPr>
    </w:lvl>
    <w:lvl w:ilvl="7" w:tplc="B42A4820">
      <w:start w:val="1"/>
      <w:numFmt w:val="lowerLetter"/>
      <w:lvlText w:val="%8."/>
      <w:lvlJc w:val="left"/>
      <w:pPr>
        <w:ind w:left="5400" w:hanging="360"/>
      </w:pPr>
    </w:lvl>
    <w:lvl w:ilvl="8" w:tplc="506A723C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9040A7"/>
    <w:multiLevelType w:val="hybridMultilevel"/>
    <w:tmpl w:val="10AC0764"/>
    <w:lvl w:ilvl="0" w:tplc="CEB697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7AC61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5490A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2D4ED4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720F68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996FB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DAB58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9EF60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5CA8E0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E73B9"/>
    <w:multiLevelType w:val="hybridMultilevel"/>
    <w:tmpl w:val="9FECCD3C"/>
    <w:lvl w:ilvl="0" w:tplc="25687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3450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382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2EF3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62AD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6A4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2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8E2F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681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C1E"/>
    <w:rsid w:val="000563AA"/>
    <w:rsid w:val="003B3DC1"/>
    <w:rsid w:val="006C58CC"/>
    <w:rsid w:val="008A185D"/>
    <w:rsid w:val="00BF2F16"/>
    <w:rsid w:val="00E616C0"/>
    <w:rsid w:val="00E7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30</cp:revision>
  <dcterms:created xsi:type="dcterms:W3CDTF">2019-06-19T09:47:00Z</dcterms:created>
  <dcterms:modified xsi:type="dcterms:W3CDTF">2019-11-20T21:04:00Z</dcterms:modified>
</cp:coreProperties>
</file>