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38C" w:rsidRDefault="00C823A4">
      <w:pPr>
        <w:pStyle w:val="Nagwek3"/>
        <w:rPr>
          <w:rFonts w:cs="Arial"/>
        </w:rPr>
      </w:pPr>
      <w:bookmarkStart w:id="0" w:name="_Toc515609922"/>
      <w:r>
        <w:t>Czytnik kodów kreskowych</w:t>
      </w:r>
      <w:r>
        <w:rPr>
          <w:lang w:val="pl"/>
        </w:rPr>
        <w:t xml:space="preserve"> (CZYTK)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20638C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0638C" w:rsidRDefault="00C823A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0638C" w:rsidRDefault="00C823A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CZYTK.WF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FE6AF3">
              <w:rPr>
                <w:rFonts w:cs="Arial"/>
                <w:b/>
                <w:noProof/>
                <w:lang w:eastAsia="zh-CN" w:bidi="ar"/>
              </w:rPr>
              <w:t>001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20638C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20638C" w:rsidRDefault="00C823A4" w:rsidP="00522750">
            <w:pPr>
              <w:spacing w:after="0" w:line="240" w:lineRule="auto"/>
              <w:rPr>
                <w:rFonts w:cs="Arial"/>
              </w:rPr>
            </w:pPr>
            <w:r>
              <w:rPr>
                <w:rFonts w:eastAsia="Calibri" w:cs="Arial"/>
              </w:rPr>
              <w:t xml:space="preserve">Wymaga się, aby Wykonawca dostarczył </w:t>
            </w:r>
            <w:r w:rsidR="00522750">
              <w:rPr>
                <w:rFonts w:eastAsia="Calibri" w:cs="Arial"/>
              </w:rPr>
              <w:t>czytniki</w:t>
            </w:r>
            <w:r>
              <w:rPr>
                <w:rFonts w:eastAsia="Calibri" w:cs="Arial"/>
              </w:rPr>
              <w:t xml:space="preserve"> kodów kreskowych spełniając</w:t>
            </w:r>
            <w:r w:rsidR="00522750">
              <w:rPr>
                <w:rFonts w:eastAsia="Calibri" w:cs="Arial"/>
              </w:rPr>
              <w:t xml:space="preserve">e </w:t>
            </w:r>
            <w:bookmarkStart w:id="1" w:name="_GoBack"/>
            <w:bookmarkEnd w:id="1"/>
            <w:r>
              <w:rPr>
                <w:rFonts w:eastAsia="Calibri" w:cs="Arial"/>
              </w:rPr>
              <w:t>poniższe wymagania.</w:t>
            </w:r>
          </w:p>
        </w:tc>
      </w:tr>
    </w:tbl>
    <w:p w:rsidR="0020638C" w:rsidRDefault="0020638C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20638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0638C" w:rsidRDefault="00C823A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0638C" w:rsidRDefault="00C823A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CZYTK.WF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FE6AF3">
              <w:rPr>
                <w:rFonts w:cs="Arial"/>
                <w:b/>
                <w:noProof/>
                <w:lang w:eastAsia="zh-CN" w:bidi="ar"/>
              </w:rPr>
              <w:t>002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20638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20638C" w:rsidRDefault="00C823A4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Wymaga się, aby Wykonawca dostarczył czytniki wyposażone w stojak (podstawkę) do pracy stacjonarnej.</w:t>
            </w:r>
          </w:p>
        </w:tc>
      </w:tr>
    </w:tbl>
    <w:p w:rsidR="0020638C" w:rsidRDefault="0020638C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20638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0638C" w:rsidRDefault="00C823A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0638C" w:rsidRDefault="00C823A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CZYTK.WF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FE6AF3">
              <w:rPr>
                <w:rFonts w:cs="Arial"/>
                <w:b/>
                <w:noProof/>
                <w:lang w:eastAsia="zh-CN" w:bidi="ar"/>
              </w:rPr>
              <w:t>003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20638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20638C" w:rsidRDefault="00C823A4">
            <w:pPr>
              <w:spacing w:after="0" w:line="240" w:lineRule="auto"/>
              <w:rPr>
                <w:rFonts w:cs="Arial"/>
                <w:lang w:eastAsia="pl"/>
              </w:rPr>
            </w:pPr>
            <w:bookmarkStart w:id="2" w:name="_Hlk23232893"/>
            <w:r>
              <w:rPr>
                <w:rFonts w:cs="Arial"/>
                <w:lang w:eastAsia="pl"/>
              </w:rPr>
              <w:t xml:space="preserve">Urządzenie powinno umożliwiać odczytywanie standardowych kodów jednowymiarowych (1D) </w:t>
            </w:r>
            <w:bookmarkStart w:id="3" w:name="_Hlk23232789"/>
            <w:bookmarkEnd w:id="2"/>
            <w:r>
              <w:rPr>
                <w:rFonts w:cs="Arial"/>
                <w:lang w:eastAsia="pl"/>
              </w:rPr>
              <w:t>oraz kodów o dużej gęstości od min. 3,5 mm.</w:t>
            </w:r>
            <w:bookmarkEnd w:id="3"/>
          </w:p>
        </w:tc>
      </w:tr>
    </w:tbl>
    <w:p w:rsidR="0020638C" w:rsidRDefault="0020638C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20638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0638C" w:rsidRDefault="00C823A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0638C" w:rsidRDefault="00C823A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CZYTK.WF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FE6AF3">
              <w:rPr>
                <w:rFonts w:cs="Arial"/>
                <w:b/>
                <w:noProof/>
                <w:lang w:eastAsia="zh-CN" w:bidi="ar"/>
              </w:rPr>
              <w:t>004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20638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20638C" w:rsidRDefault="00C823A4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Urządzenie powinno pozwalać na skanowanie za pomocą min. jednej linii skanującej, przy min. 30 stopniowym odchyleniu w poziomie.</w:t>
            </w:r>
          </w:p>
        </w:tc>
      </w:tr>
    </w:tbl>
    <w:p w:rsidR="0020638C" w:rsidRDefault="0020638C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20638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0638C" w:rsidRDefault="00C823A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0638C" w:rsidRDefault="00C823A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CZYTK.WF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FE6AF3">
              <w:rPr>
                <w:rFonts w:cs="Arial"/>
                <w:b/>
                <w:noProof/>
                <w:lang w:eastAsia="zh-CN" w:bidi="ar"/>
              </w:rPr>
              <w:t>005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20638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20638C" w:rsidRDefault="00C823A4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Urządzenie powinno zapewniać prawidłową pracę w temperaturze od 0 do 50 stopni Celsjusza.</w:t>
            </w:r>
          </w:p>
        </w:tc>
      </w:tr>
    </w:tbl>
    <w:p w:rsidR="0020638C" w:rsidRDefault="0020638C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20638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0638C" w:rsidRDefault="00C823A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0638C" w:rsidRDefault="00C823A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CZYTK.WF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FE6AF3">
              <w:rPr>
                <w:rFonts w:cs="Arial"/>
                <w:b/>
                <w:noProof/>
                <w:lang w:eastAsia="zh-CN" w:bidi="ar"/>
              </w:rPr>
              <w:t>006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20638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20638C" w:rsidRDefault="00C823A4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Urządzenie powinno zapewniać ochronę przed dostępem do jego wewnętrznych komponentów zgodnie ze standardem IP42.</w:t>
            </w:r>
          </w:p>
        </w:tc>
      </w:tr>
    </w:tbl>
    <w:p w:rsidR="0020638C" w:rsidRDefault="0020638C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20638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0638C" w:rsidRDefault="00C823A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0638C" w:rsidRDefault="00C823A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CZYTK.WF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FE6AF3">
              <w:rPr>
                <w:rFonts w:cs="Arial"/>
                <w:b/>
                <w:noProof/>
                <w:lang w:eastAsia="zh-CN" w:bidi="ar"/>
              </w:rPr>
              <w:t>007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20638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20638C" w:rsidRDefault="00C823A4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Komunikacja urządzenia nadrzędnego z czytnikiem powinna odbywać się za pomocą interfejsu RS232, USB (min. wersja 2.0).</w:t>
            </w:r>
          </w:p>
        </w:tc>
      </w:tr>
    </w:tbl>
    <w:p w:rsidR="0020638C" w:rsidRDefault="0020638C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20638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0638C" w:rsidRDefault="00C823A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0638C" w:rsidRDefault="00C823A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CZYTK.WF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FE6AF3">
              <w:rPr>
                <w:rFonts w:cs="Arial"/>
                <w:b/>
                <w:noProof/>
                <w:lang w:eastAsia="zh-CN" w:bidi="ar"/>
              </w:rPr>
              <w:t>008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20638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20638C" w:rsidRDefault="00C823A4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</w:rPr>
              <w:t>Zasilanie urządzenia powinno odbywać się za pomocą kompatybilnego zasilacza</w:t>
            </w:r>
            <w:r w:rsidR="003B5B5A">
              <w:rPr>
                <w:rFonts w:cs="Arial"/>
              </w:rPr>
              <w:t>.</w:t>
            </w:r>
          </w:p>
        </w:tc>
      </w:tr>
    </w:tbl>
    <w:p w:rsidR="0020638C" w:rsidRDefault="0020638C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20638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0638C" w:rsidRDefault="00C823A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0638C" w:rsidRDefault="00C823A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CZYTK.WF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FE6AF3">
              <w:rPr>
                <w:rFonts w:cs="Arial"/>
                <w:b/>
                <w:noProof/>
                <w:lang w:eastAsia="zh-CN" w:bidi="ar"/>
              </w:rPr>
              <w:t>009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20638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20638C" w:rsidRDefault="00C823A4" w:rsidP="003B5B5A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</w:rPr>
              <w:t>Wraz z urządzeniem Wykonawca dostarczy oprogramowanie (api, biblioteki, framework)  pozwalające na integrację z systemami Zamawiającego (m.in. SEOD/E</w:t>
            </w:r>
            <w:r w:rsidR="003B5B5A">
              <w:rPr>
                <w:rFonts w:cs="Arial"/>
              </w:rPr>
              <w:t>Z</w:t>
            </w:r>
            <w:r>
              <w:rPr>
                <w:rFonts w:cs="Arial"/>
              </w:rPr>
              <w:t>D, modułami inwentaryzacji oraz obsługi biblioteki) wraz z niezbędnymi licencjami, bez ograniczeń. Wykonawca dostarczy sterowniki urządzenia zgodne z systemem Windows 7,8,10.</w:t>
            </w:r>
          </w:p>
        </w:tc>
      </w:tr>
    </w:tbl>
    <w:p w:rsidR="0020638C" w:rsidRDefault="0020638C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20638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0638C" w:rsidRDefault="00C823A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0638C" w:rsidRDefault="00C823A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CZYTK.WF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FE6AF3">
              <w:rPr>
                <w:rFonts w:cs="Arial"/>
                <w:b/>
                <w:noProof/>
                <w:lang w:eastAsia="zh-CN" w:bidi="ar"/>
              </w:rPr>
              <w:t>010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20638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20638C" w:rsidRDefault="00C823A4" w:rsidP="00316952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</w:rPr>
              <w:t xml:space="preserve">Warunki gwarancji: zakupione urządzenie powinno posiadać </w:t>
            </w:r>
            <w:r w:rsidR="002A73CD">
              <w:rPr>
                <w:rFonts w:cs="Arial"/>
              </w:rPr>
              <w:t>gwarancję</w:t>
            </w:r>
            <w:r>
              <w:rPr>
                <w:rFonts w:cs="Arial"/>
              </w:rPr>
              <w:t xml:space="preserve"> producenta.</w:t>
            </w:r>
            <w:bookmarkEnd w:id="0"/>
          </w:p>
        </w:tc>
      </w:tr>
    </w:tbl>
    <w:p w:rsidR="0020638C" w:rsidRDefault="0020638C">
      <w:pPr>
        <w:spacing w:after="0"/>
      </w:pPr>
    </w:p>
    <w:sectPr w:rsidR="0020638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BFFDB9A" w15:done="0"/>
  <w15:commentEx w15:paraId="C7C1DC9B" w15:done="0"/>
  <w15:commentEx w15:paraId="3535FC0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080" w:rsidRDefault="00C45080">
      <w:pPr>
        <w:spacing w:line="240" w:lineRule="auto"/>
      </w:pPr>
      <w:r>
        <w:separator/>
      </w:r>
    </w:p>
  </w:endnote>
  <w:endnote w:type="continuationSeparator" w:id="0">
    <w:p w:rsidR="00C45080" w:rsidRDefault="00C450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38C" w:rsidRDefault="00C823A4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522750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080" w:rsidRDefault="00C45080">
      <w:pPr>
        <w:spacing w:line="240" w:lineRule="auto"/>
      </w:pPr>
      <w:r>
        <w:separator/>
      </w:r>
    </w:p>
  </w:footnote>
  <w:footnote w:type="continuationSeparator" w:id="0">
    <w:p w:rsidR="00C45080" w:rsidRDefault="00C4508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38C" w:rsidRDefault="0020638C">
    <w:pPr>
      <w:pStyle w:val="Nagwek"/>
      <w:pBdr>
        <w:bottom w:val="none" w:sz="0" w:space="0" w:color="auto"/>
      </w:pBdr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D4561"/>
    <w:multiLevelType w:val="multilevel"/>
    <w:tmpl w:val="16DD4561"/>
    <w:lvl w:ilvl="0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B80A0B"/>
    <w:multiLevelType w:val="multilevel"/>
    <w:tmpl w:val="3DB80A0B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2">
    <w:nsid w:val="40135C2B"/>
    <w:multiLevelType w:val="multilevel"/>
    <w:tmpl w:val="40135C2B"/>
    <w:lvl w:ilvl="0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3">
    <w:nsid w:val="402219E6"/>
    <w:multiLevelType w:val="multilevel"/>
    <w:tmpl w:val="402219E6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6D62159D"/>
    <w:multiLevelType w:val="multilevel"/>
    <w:tmpl w:val="6D62159D"/>
    <w:lvl w:ilvl="0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pmuszynski">
    <w15:presenceInfo w15:providerId="None" w15:userId="pmuszynski"/>
  </w15:person>
  <w15:person w15:author="urbaniak_w">
    <w15:presenceInfo w15:providerId="None" w15:userId="urbaniak_w"/>
  </w15:person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3CB"/>
    <w:rsid w:val="00084D42"/>
    <w:rsid w:val="001E57F8"/>
    <w:rsid w:val="0020638C"/>
    <w:rsid w:val="00263398"/>
    <w:rsid w:val="002A73CD"/>
    <w:rsid w:val="00316952"/>
    <w:rsid w:val="003B5B5A"/>
    <w:rsid w:val="003F7E54"/>
    <w:rsid w:val="00410FC5"/>
    <w:rsid w:val="00522750"/>
    <w:rsid w:val="005F165F"/>
    <w:rsid w:val="006064A5"/>
    <w:rsid w:val="006C0076"/>
    <w:rsid w:val="006C73CB"/>
    <w:rsid w:val="008D5A58"/>
    <w:rsid w:val="00B419FE"/>
    <w:rsid w:val="00B63D90"/>
    <w:rsid w:val="00BE3324"/>
    <w:rsid w:val="00C45080"/>
    <w:rsid w:val="00C823A4"/>
    <w:rsid w:val="00E4026E"/>
    <w:rsid w:val="00FE6AF3"/>
    <w:rsid w:val="7DBFB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line="240" w:lineRule="auto"/>
      <w:jc w:val="left"/>
    </w:pPr>
    <w:rPr>
      <w:bCs/>
      <w:i/>
      <w:sz w:val="18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  <w:rPr>
      <w:szCs w:val="22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TableGridLight">
    <w:name w:val="Table Grid Light"/>
    <w:basedOn w:val="Standardowy"/>
    <w:uiPriority w:val="59"/>
    <w:qFormat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qFormat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qFormat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qFormat/>
    <w:pPr>
      <w:spacing w:after="0" w:line="240" w:lineRule="auto"/>
    </w:pPr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qFormat/>
    <w:pPr>
      <w:spacing w:after="0" w:line="240" w:lineRule="auto"/>
    </w:pPr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qFormat/>
    <w:pPr>
      <w:spacing w:after="0" w:line="240" w:lineRule="auto"/>
    </w:pPr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qFormat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qFormat/>
    <w:pPr>
      <w:spacing w:after="0" w:line="240" w:lineRule="auto"/>
    </w:pPr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qFormat/>
    <w:pPr>
      <w:spacing w:after="0" w:line="240" w:lineRule="auto"/>
    </w:pPr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qFormat/>
    <w:pPr>
      <w:spacing w:after="0" w:line="240" w:lineRule="auto"/>
    </w:pPr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qFormat/>
    <w:pPr>
      <w:spacing w:after="0" w:line="240" w:lineRule="auto"/>
    </w:pPr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qFormat/>
    <w:pPr>
      <w:spacing w:after="0" w:line="240" w:lineRule="auto"/>
    </w:pPr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qFormat/>
    <w:pPr>
      <w:spacing w:after="0" w:line="240" w:lineRule="auto"/>
    </w:pPr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qFormat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qFormat/>
    <w:pPr>
      <w:spacing w:after="0" w:line="240" w:lineRule="auto"/>
    </w:pPr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qFormat/>
    <w:pPr>
      <w:spacing w:after="0" w:line="240" w:lineRule="auto"/>
    </w:pPr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qFormat/>
    <w:pPr>
      <w:spacing w:after="0" w:line="240" w:lineRule="auto"/>
    </w:pPr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qFormat/>
    <w:pPr>
      <w:spacing w:after="0" w:line="240" w:lineRule="auto"/>
    </w:pPr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qFormat/>
    <w:pPr>
      <w:spacing w:after="0" w:line="240" w:lineRule="auto"/>
    </w:pPr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qFormat/>
    <w:pPr>
      <w:spacing w:after="0" w:line="240" w:lineRule="auto"/>
    </w:pPr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qFormat/>
    <w:pPr>
      <w:spacing w:after="0" w:line="240" w:lineRule="auto"/>
    </w:pPr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qFormat/>
    <w:pPr>
      <w:spacing w:after="0" w:line="240" w:lineRule="auto"/>
    </w:pPr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qFormat/>
    <w:pPr>
      <w:spacing w:after="0" w:line="240" w:lineRule="auto"/>
    </w:pPr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qFormat/>
    <w:pPr>
      <w:spacing w:after="0" w:line="240" w:lineRule="auto"/>
    </w:pPr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qFormat/>
    <w:pPr>
      <w:spacing w:after="0" w:line="240" w:lineRule="auto"/>
    </w:pPr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qFormat/>
    <w:pPr>
      <w:spacing w:after="0" w:line="240" w:lineRule="auto"/>
    </w:pPr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qFormat/>
    <w:pPr>
      <w:spacing w:after="0" w:line="240" w:lineRule="auto"/>
    </w:pPr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qFormat/>
    <w:pPr>
      <w:spacing w:after="0" w:line="240" w:lineRule="auto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">
    <w:name w:val="Grid Table 7 Colorful"/>
    <w:basedOn w:val="Standardowy"/>
    <w:uiPriority w:val="99"/>
    <w:qFormat/>
    <w:pPr>
      <w:spacing w:after="0" w:line="240" w:lineRule="auto"/>
    </w:pPr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qFormat/>
    <w:pPr>
      <w:spacing w:after="0" w:line="240" w:lineRule="auto"/>
    </w:pPr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qFormat/>
    <w:pPr>
      <w:spacing w:after="0" w:line="240" w:lineRule="auto"/>
    </w:pPr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qFormat/>
    <w:pPr>
      <w:spacing w:after="0" w:line="240" w:lineRule="auto"/>
    </w:pPr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qFormat/>
    <w:pPr>
      <w:spacing w:after="0" w:line="240" w:lineRule="auto"/>
    </w:pPr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qFormat/>
    <w:pPr>
      <w:spacing w:after="0" w:line="240" w:lineRule="auto"/>
    </w:pPr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qFormat/>
    <w:pPr>
      <w:spacing w:after="0" w:line="240" w:lineRule="auto"/>
    </w:pPr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ListTable1Light">
    <w:name w:val="List Table 1 Light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qFormat/>
    <w:pPr>
      <w:spacing w:after="0" w:line="240" w:lineRule="auto"/>
    </w:pPr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qFormat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qFormat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qFormat/>
    <w:pPr>
      <w:spacing w:after="0" w:line="240" w:lineRule="auto"/>
    </w:pPr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qFormat/>
    <w:pPr>
      <w:spacing w:after="0" w:line="240" w:lineRule="auto"/>
    </w:pPr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qFormat/>
    <w:pPr>
      <w:spacing w:after="0" w:line="240" w:lineRule="auto"/>
    </w:pPr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qFormat/>
    <w:pPr>
      <w:spacing w:after="0" w:line="240" w:lineRule="auto"/>
    </w:pPr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qFormat/>
    <w:pPr>
      <w:spacing w:after="0" w:line="240" w:lineRule="auto"/>
    </w:pPr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qFormat/>
    <w:pPr>
      <w:spacing w:after="0" w:line="240" w:lineRule="auto"/>
    </w:pPr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qFormat/>
    <w:pPr>
      <w:spacing w:after="0" w:line="240" w:lineRule="auto"/>
    </w:pPr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qFormat/>
    <w:pPr>
      <w:spacing w:after="0" w:line="240" w:lineRule="auto"/>
    </w:p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stTable7Colorful">
    <w:name w:val="List Table 7 Colorful"/>
    <w:basedOn w:val="Standardowy"/>
    <w:uiPriority w:val="99"/>
    <w:qFormat/>
    <w:pPr>
      <w:spacing w:after="0" w:line="240" w:lineRule="auto"/>
    </w:pPr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qFormat/>
    <w:pPr>
      <w:spacing w:after="0" w:line="240" w:lineRule="auto"/>
    </w:pPr>
    <w:tblPr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qFormat/>
    <w:pPr>
      <w:spacing w:after="0" w:line="240" w:lineRule="auto"/>
    </w:pPr>
    <w:tblPr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qFormat/>
    <w:pPr>
      <w:spacing w:after="0" w:line="240" w:lineRule="auto"/>
    </w:pPr>
    <w:tblPr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qFormat/>
    <w:pPr>
      <w:spacing w:after="0" w:line="240" w:lineRule="auto"/>
    </w:pPr>
    <w:tblPr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qFormat/>
    <w:pPr>
      <w:spacing w:after="0" w:line="240" w:lineRule="auto"/>
    </w:pPr>
    <w:tblPr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qFormat/>
    <w:pPr>
      <w:spacing w:after="0" w:line="240" w:lineRule="auto"/>
    </w:pPr>
    <w:tblPr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ascii="Calibri" w:eastAsia="Calibri" w:hAnsi="Calibri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rFonts w:ascii="Arial" w:eastAsia="Times New Roman" w:hAnsi="Arial" w:cs="Times New Roman"/>
      <w:bCs/>
      <w:i/>
      <w:sz w:val="18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Calibri" w:eastAsia="Times New Roman" w:hAnsi="Calibri"/>
      <w:sz w:val="24"/>
      <w:szCs w:val="22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szCs w:val="22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hAnsi="Calibri" w:cs="Tahoma"/>
      <w:sz w:val="22"/>
      <w:szCs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ascii="Calibri" w:eastAsia="Times New Roman" w:hAnsi="Calibri"/>
      <w:sz w:val="24"/>
      <w:szCs w:val="22"/>
      <w:lang w:val="en-US" w:eastAsia="zh-CN"/>
    </w:rPr>
  </w:style>
  <w:style w:type="paragraph" w:customStyle="1" w:styleId="Poprawka3">
    <w:name w:val="Poprawka3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  <w:rPr>
      <w:rFonts w:ascii="Arial" w:eastAsia="Times New Roman" w:hAnsi="Arial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line="240" w:lineRule="auto"/>
      <w:jc w:val="left"/>
    </w:pPr>
    <w:rPr>
      <w:bCs/>
      <w:i/>
      <w:sz w:val="18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  <w:rPr>
      <w:szCs w:val="22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TableGridLight">
    <w:name w:val="Table Grid Light"/>
    <w:basedOn w:val="Standardowy"/>
    <w:uiPriority w:val="59"/>
    <w:qFormat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qFormat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qFormat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qFormat/>
    <w:pPr>
      <w:spacing w:after="0" w:line="240" w:lineRule="auto"/>
    </w:pPr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qFormat/>
    <w:pPr>
      <w:spacing w:after="0" w:line="240" w:lineRule="auto"/>
    </w:pPr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qFormat/>
    <w:pPr>
      <w:spacing w:after="0" w:line="240" w:lineRule="auto"/>
    </w:pPr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qFormat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qFormat/>
    <w:pPr>
      <w:spacing w:after="0" w:line="240" w:lineRule="auto"/>
    </w:pPr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qFormat/>
    <w:pPr>
      <w:spacing w:after="0" w:line="240" w:lineRule="auto"/>
    </w:pPr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qFormat/>
    <w:pPr>
      <w:spacing w:after="0" w:line="240" w:lineRule="auto"/>
    </w:pPr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qFormat/>
    <w:pPr>
      <w:spacing w:after="0" w:line="240" w:lineRule="auto"/>
    </w:pPr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qFormat/>
    <w:pPr>
      <w:spacing w:after="0" w:line="240" w:lineRule="auto"/>
    </w:pPr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qFormat/>
    <w:pPr>
      <w:spacing w:after="0" w:line="240" w:lineRule="auto"/>
    </w:pPr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qFormat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qFormat/>
    <w:pPr>
      <w:spacing w:after="0" w:line="240" w:lineRule="auto"/>
    </w:pPr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qFormat/>
    <w:pPr>
      <w:spacing w:after="0" w:line="240" w:lineRule="auto"/>
    </w:pPr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qFormat/>
    <w:pPr>
      <w:spacing w:after="0" w:line="240" w:lineRule="auto"/>
    </w:pPr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qFormat/>
    <w:pPr>
      <w:spacing w:after="0" w:line="240" w:lineRule="auto"/>
    </w:pPr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qFormat/>
    <w:pPr>
      <w:spacing w:after="0" w:line="240" w:lineRule="auto"/>
    </w:pPr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qFormat/>
    <w:pPr>
      <w:spacing w:after="0" w:line="240" w:lineRule="auto"/>
    </w:pPr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qFormat/>
    <w:pPr>
      <w:spacing w:after="0" w:line="240" w:lineRule="auto"/>
    </w:pPr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qFormat/>
    <w:pPr>
      <w:spacing w:after="0" w:line="240" w:lineRule="auto"/>
    </w:pPr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qFormat/>
    <w:pPr>
      <w:spacing w:after="0" w:line="240" w:lineRule="auto"/>
    </w:pPr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qFormat/>
    <w:pPr>
      <w:spacing w:after="0" w:line="240" w:lineRule="auto"/>
    </w:pPr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qFormat/>
    <w:pPr>
      <w:spacing w:after="0" w:line="240" w:lineRule="auto"/>
    </w:pPr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qFormat/>
    <w:pPr>
      <w:spacing w:after="0" w:line="240" w:lineRule="auto"/>
    </w:pPr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qFormat/>
    <w:pPr>
      <w:spacing w:after="0" w:line="240" w:lineRule="auto"/>
    </w:pPr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qFormat/>
    <w:pPr>
      <w:spacing w:after="0" w:line="240" w:lineRule="auto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">
    <w:name w:val="Grid Table 7 Colorful"/>
    <w:basedOn w:val="Standardowy"/>
    <w:uiPriority w:val="99"/>
    <w:qFormat/>
    <w:pPr>
      <w:spacing w:after="0" w:line="240" w:lineRule="auto"/>
    </w:pPr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qFormat/>
    <w:pPr>
      <w:spacing w:after="0" w:line="240" w:lineRule="auto"/>
    </w:pPr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qFormat/>
    <w:pPr>
      <w:spacing w:after="0" w:line="240" w:lineRule="auto"/>
    </w:pPr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qFormat/>
    <w:pPr>
      <w:spacing w:after="0" w:line="240" w:lineRule="auto"/>
    </w:pPr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qFormat/>
    <w:pPr>
      <w:spacing w:after="0" w:line="240" w:lineRule="auto"/>
    </w:pPr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qFormat/>
    <w:pPr>
      <w:spacing w:after="0" w:line="240" w:lineRule="auto"/>
    </w:pPr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qFormat/>
    <w:pPr>
      <w:spacing w:after="0" w:line="240" w:lineRule="auto"/>
    </w:pPr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ListTable1Light">
    <w:name w:val="List Table 1 Light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qFormat/>
    <w:pPr>
      <w:spacing w:after="0" w:line="240" w:lineRule="auto"/>
    </w:pPr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qFormat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qFormat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qFormat/>
    <w:pPr>
      <w:spacing w:after="0" w:line="240" w:lineRule="auto"/>
    </w:pPr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qFormat/>
    <w:pPr>
      <w:spacing w:after="0" w:line="240" w:lineRule="auto"/>
    </w:pPr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qFormat/>
    <w:pPr>
      <w:spacing w:after="0" w:line="240" w:lineRule="auto"/>
    </w:pPr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qFormat/>
    <w:pPr>
      <w:spacing w:after="0" w:line="240" w:lineRule="auto"/>
    </w:pPr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qFormat/>
    <w:pPr>
      <w:spacing w:after="0" w:line="240" w:lineRule="auto"/>
    </w:pPr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qFormat/>
    <w:pPr>
      <w:spacing w:after="0" w:line="240" w:lineRule="auto"/>
    </w:pPr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qFormat/>
    <w:pPr>
      <w:spacing w:after="0" w:line="240" w:lineRule="auto"/>
    </w:pPr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qFormat/>
    <w:pPr>
      <w:spacing w:after="0" w:line="240" w:lineRule="auto"/>
    </w:p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stTable7Colorful">
    <w:name w:val="List Table 7 Colorful"/>
    <w:basedOn w:val="Standardowy"/>
    <w:uiPriority w:val="99"/>
    <w:qFormat/>
    <w:pPr>
      <w:spacing w:after="0" w:line="240" w:lineRule="auto"/>
    </w:pPr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qFormat/>
    <w:pPr>
      <w:spacing w:after="0" w:line="240" w:lineRule="auto"/>
    </w:pPr>
    <w:tblPr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qFormat/>
    <w:pPr>
      <w:spacing w:after="0" w:line="240" w:lineRule="auto"/>
    </w:pPr>
    <w:tblPr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qFormat/>
    <w:pPr>
      <w:spacing w:after="0" w:line="240" w:lineRule="auto"/>
    </w:pPr>
    <w:tblPr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qFormat/>
    <w:pPr>
      <w:spacing w:after="0" w:line="240" w:lineRule="auto"/>
    </w:pPr>
    <w:tblPr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qFormat/>
    <w:pPr>
      <w:spacing w:after="0" w:line="240" w:lineRule="auto"/>
    </w:pPr>
    <w:tblPr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qFormat/>
    <w:pPr>
      <w:spacing w:after="0" w:line="240" w:lineRule="auto"/>
    </w:pPr>
    <w:tblPr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ascii="Calibri" w:eastAsia="Calibri" w:hAnsi="Calibri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rFonts w:ascii="Arial" w:eastAsia="Times New Roman" w:hAnsi="Arial" w:cs="Times New Roman"/>
      <w:bCs/>
      <w:i/>
      <w:sz w:val="18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Calibri" w:eastAsia="Times New Roman" w:hAnsi="Calibri"/>
      <w:sz w:val="24"/>
      <w:szCs w:val="22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szCs w:val="22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hAnsi="Calibri" w:cs="Tahoma"/>
      <w:sz w:val="22"/>
      <w:szCs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ascii="Calibri" w:eastAsia="Times New Roman" w:hAnsi="Calibri"/>
      <w:sz w:val="24"/>
      <w:szCs w:val="22"/>
      <w:lang w:val="en-US" w:eastAsia="zh-CN"/>
    </w:rPr>
  </w:style>
  <w:style w:type="paragraph" w:customStyle="1" w:styleId="Poprawka3">
    <w:name w:val="Poprawka3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  <w:rPr>
      <w:rFonts w:ascii="Arial" w:eastAsia="Times New Roman" w:hAnsi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252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15</cp:revision>
  <dcterms:created xsi:type="dcterms:W3CDTF">2019-10-29T09:18:00Z</dcterms:created>
  <dcterms:modified xsi:type="dcterms:W3CDTF">2019-11-20T22:30:00Z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1045-11.1.0.8865</vt:lpwstr>
  </property>
</Properties>
</file>