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8F" w:rsidRPr="00FF218F" w:rsidRDefault="00FF218F" w:rsidP="00FF218F">
      <w:pPr>
        <w:pStyle w:val="Bodytext20"/>
        <w:shd w:val="clear" w:color="auto" w:fill="auto"/>
        <w:tabs>
          <w:tab w:val="left" w:leader="dot" w:pos="3061"/>
        </w:tabs>
        <w:spacing w:before="0" w:after="0" w:line="240" w:lineRule="auto"/>
        <w:ind w:left="561" w:firstLine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218F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1 do Uchwały nr XXII.190.2020</w:t>
      </w:r>
    </w:p>
    <w:p w:rsidR="00FF218F" w:rsidRPr="00FF218F" w:rsidRDefault="00FF218F" w:rsidP="00FF218F">
      <w:pPr>
        <w:pStyle w:val="Bodytext20"/>
        <w:shd w:val="clear" w:color="auto" w:fill="auto"/>
        <w:tabs>
          <w:tab w:val="left" w:leader="dot" w:pos="3061"/>
        </w:tabs>
        <w:spacing w:before="0" w:after="0" w:line="240" w:lineRule="auto"/>
        <w:ind w:left="561" w:firstLine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218F">
        <w:rPr>
          <w:rFonts w:ascii="Times New Roman" w:hAnsi="Times New Roman" w:cs="Times New Roman"/>
          <w:b/>
          <w:bCs/>
          <w:i/>
          <w:iCs/>
          <w:sz w:val="20"/>
          <w:szCs w:val="20"/>
        </w:rPr>
        <w:t>Rady Miejskiej w Twardogórze z dnia 28 kwietnia 2020 r.</w:t>
      </w:r>
    </w:p>
    <w:p w:rsidR="00FF218F" w:rsidRPr="00FF218F" w:rsidRDefault="00FF218F" w:rsidP="00FF218F">
      <w:pPr>
        <w:pStyle w:val="Bodytext20"/>
        <w:shd w:val="clear" w:color="auto" w:fill="auto"/>
        <w:tabs>
          <w:tab w:val="left" w:leader="dot" w:pos="3061"/>
        </w:tabs>
        <w:spacing w:before="0" w:after="0" w:line="379" w:lineRule="exact"/>
        <w:ind w:left="560" w:firstLine="0"/>
        <w:jc w:val="both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20"/>
        <w:shd w:val="clear" w:color="auto" w:fill="auto"/>
        <w:tabs>
          <w:tab w:val="left" w:leader="dot" w:pos="3061"/>
        </w:tabs>
        <w:spacing w:before="0" w:after="0" w:line="379" w:lineRule="exact"/>
        <w:ind w:left="560" w:firstLine="0"/>
        <w:jc w:val="both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ab/>
        <w:t xml:space="preserve"> </w:t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</w:p>
    <w:p w:rsidR="00FF218F" w:rsidRPr="00FF218F" w:rsidRDefault="00FF218F" w:rsidP="00FF218F">
      <w:pPr>
        <w:pStyle w:val="Bodytext40"/>
        <w:shd w:val="clear" w:color="auto" w:fill="auto"/>
        <w:spacing w:after="0"/>
        <w:ind w:left="561" w:firstLine="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imię i nazwisko / nazwa podatnika</w:t>
      </w:r>
    </w:p>
    <w:p w:rsidR="00FF218F" w:rsidRPr="00FF218F" w:rsidRDefault="00FF218F" w:rsidP="00FF218F">
      <w:pPr>
        <w:pStyle w:val="Bodytext40"/>
        <w:shd w:val="clear" w:color="auto" w:fill="auto"/>
        <w:spacing w:after="0"/>
        <w:ind w:left="561" w:firstLine="0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40"/>
        <w:shd w:val="clear" w:color="auto" w:fill="auto"/>
        <w:spacing w:after="0"/>
        <w:ind w:left="561" w:firstLine="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NIP przedsiębiorcy</w:t>
      </w:r>
    </w:p>
    <w:p w:rsidR="00FF218F" w:rsidRPr="00FF218F" w:rsidRDefault="00FF218F" w:rsidP="00FF218F">
      <w:pPr>
        <w:pStyle w:val="Bodytext50"/>
        <w:shd w:val="clear" w:color="auto" w:fill="auto"/>
        <w:spacing w:before="0" w:after="0"/>
        <w:ind w:left="2836" w:right="1758"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F218F">
        <w:rPr>
          <w:rFonts w:ascii="Times New Roman" w:hAnsi="Times New Roman" w:cs="Times New Roman"/>
        </w:rPr>
        <w:t>Burmistrz Miasta i Gminy Twardogóra</w:t>
      </w:r>
    </w:p>
    <w:p w:rsidR="00FF218F" w:rsidRPr="00FF218F" w:rsidRDefault="00FF218F" w:rsidP="00FF218F">
      <w:pPr>
        <w:pStyle w:val="Bodytext50"/>
        <w:shd w:val="clear" w:color="auto" w:fill="auto"/>
        <w:spacing w:before="0" w:after="0"/>
        <w:ind w:left="2836" w:right="1758" w:firstLine="709"/>
        <w:jc w:val="right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ul. Ratuszowa 14, 56-416 Twardogóra</w:t>
      </w:r>
    </w:p>
    <w:p w:rsidR="00FF218F" w:rsidRPr="00FF218F" w:rsidRDefault="00FF218F" w:rsidP="00FF218F">
      <w:pPr>
        <w:pStyle w:val="Bodytext50"/>
        <w:shd w:val="clear" w:color="auto" w:fill="auto"/>
        <w:spacing w:before="0" w:after="0" w:line="200" w:lineRule="exact"/>
        <w:ind w:left="860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50"/>
        <w:shd w:val="clear" w:color="auto" w:fill="auto"/>
        <w:spacing w:before="0" w:after="0" w:line="200" w:lineRule="exact"/>
        <w:ind w:left="86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INFORMACJA O PROWADZONEJ DZIAŁALNOŚCI GOSPODARCZEJ ORAZ O PŁYNNOŚCI FINANSOWEJ</w:t>
      </w:r>
    </w:p>
    <w:p w:rsidR="00FF218F" w:rsidRPr="00FF218F" w:rsidRDefault="00FF218F" w:rsidP="00FF218F">
      <w:pPr>
        <w:pStyle w:val="Bodytext50"/>
        <w:shd w:val="clear" w:color="auto" w:fill="auto"/>
        <w:spacing w:before="0" w:after="431" w:line="200" w:lineRule="exact"/>
        <w:ind w:left="312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(PODMIOTY PROWADZĄCE PEŁNĄ KSIĘGOWOŚĆ)</w:t>
      </w:r>
    </w:p>
    <w:p w:rsidR="00FF218F" w:rsidRPr="00FF218F" w:rsidRDefault="00FF218F" w:rsidP="00FF218F">
      <w:pPr>
        <w:pStyle w:val="Bodytext40"/>
        <w:shd w:val="clear" w:color="auto" w:fill="auto"/>
        <w:spacing w:after="240" w:line="211" w:lineRule="exact"/>
        <w:ind w:left="560" w:firstLine="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 xml:space="preserve">Na podstawie uchwały Rady Miejskiej w Twardogórze z dnia 24 kwietnia 2020 roku w sprawie wprowadzenia za część roku 2020, zwolnienia z podatku od nieruchomości: gruntów, budynków i budowli związanych z prowadzeniem działalności gospodarczej, grupom przedsiębiorców, których płynność finansowa uległa pogorszeniu w związku z ponoszeniem negatywnych konsekwencji ekonomicznych z powodu </w:t>
      </w:r>
      <w:r w:rsidRPr="00FF218F">
        <w:rPr>
          <w:rFonts w:ascii="Times New Roman" w:hAnsi="Times New Roman" w:cs="Times New Roman"/>
          <w:lang w:val="en-US" w:bidi="en-US"/>
        </w:rPr>
        <w:t xml:space="preserve">COVID-19 </w:t>
      </w:r>
      <w:r w:rsidRPr="00FF218F">
        <w:rPr>
          <w:rFonts w:ascii="Times New Roman" w:hAnsi="Times New Roman" w:cs="Times New Roman"/>
        </w:rPr>
        <w:t>oświadczam, co następuje:</w:t>
      </w:r>
    </w:p>
    <w:p w:rsidR="00FF218F" w:rsidRPr="00FF218F" w:rsidRDefault="00FF218F" w:rsidP="00FF218F">
      <w:pPr>
        <w:pStyle w:val="Bodytext40"/>
        <w:numPr>
          <w:ilvl w:val="0"/>
          <w:numId w:val="1"/>
        </w:numPr>
        <w:shd w:val="clear" w:color="auto" w:fill="auto"/>
        <w:tabs>
          <w:tab w:val="left" w:pos="1267"/>
        </w:tabs>
        <w:spacing w:after="0" w:line="211" w:lineRule="exact"/>
        <w:ind w:left="851" w:hanging="360"/>
        <w:jc w:val="left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w dniu 1 marca 2020 r. prowadziłem/</w:t>
      </w:r>
      <w:proofErr w:type="spellStart"/>
      <w:r w:rsidRPr="00FF218F">
        <w:rPr>
          <w:rFonts w:ascii="Times New Roman" w:hAnsi="Times New Roman" w:cs="Times New Roman"/>
        </w:rPr>
        <w:t>am</w:t>
      </w:r>
      <w:proofErr w:type="spellEnd"/>
      <w:r w:rsidRPr="00FF218F">
        <w:rPr>
          <w:rFonts w:ascii="Times New Roman" w:hAnsi="Times New Roman" w:cs="Times New Roman"/>
        </w:rPr>
        <w:t xml:space="preserve"> w nieruchomościach położonych na terenie Gminy Twardogóra działalność gospodarczą:</w:t>
      </w:r>
    </w:p>
    <w:p w:rsidR="00FF218F" w:rsidRPr="00FF218F" w:rsidRDefault="00FF218F" w:rsidP="00FF218F">
      <w:pPr>
        <w:pStyle w:val="Bodytext60"/>
        <w:shd w:val="clear" w:color="auto" w:fill="auto"/>
        <w:spacing w:before="0" w:after="0" w:line="240" w:lineRule="auto"/>
        <w:ind w:left="851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40"/>
        <w:numPr>
          <w:ilvl w:val="0"/>
          <w:numId w:val="2"/>
        </w:numPr>
        <w:shd w:val="clear" w:color="auto" w:fill="auto"/>
        <w:tabs>
          <w:tab w:val="left" w:pos="1581"/>
        </w:tabs>
        <w:spacing w:after="0" w:line="240" w:lineRule="auto"/>
        <w:ind w:left="851" w:firstLine="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 xml:space="preserve">handlową, </w:t>
      </w:r>
      <w:r w:rsidRPr="00FF218F">
        <w:rPr>
          <w:rFonts w:ascii="Times New Roman" w:hAnsi="Times New Roman" w:cs="Times New Roman"/>
        </w:rPr>
        <w:tab/>
        <w:t xml:space="preserve">□ usługową, </w:t>
      </w:r>
      <w:r w:rsidRPr="00FF218F">
        <w:rPr>
          <w:rFonts w:ascii="Times New Roman" w:hAnsi="Times New Roman" w:cs="Times New Roman"/>
        </w:rPr>
        <w:tab/>
        <w:t>□ wytwórczą,</w:t>
      </w:r>
    </w:p>
    <w:p w:rsidR="00FF218F" w:rsidRPr="00FF218F" w:rsidRDefault="00FF218F" w:rsidP="00FF218F">
      <w:pPr>
        <w:pStyle w:val="Bodytext40"/>
        <w:shd w:val="clear" w:color="auto" w:fill="auto"/>
        <w:tabs>
          <w:tab w:val="left" w:pos="1581"/>
        </w:tabs>
        <w:spacing w:after="0" w:line="240" w:lineRule="auto"/>
        <w:ind w:left="851" w:firstLine="0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40"/>
        <w:shd w:val="clear" w:color="auto" w:fill="auto"/>
        <w:spacing w:after="0" w:line="240" w:lineRule="auto"/>
        <w:ind w:left="851" w:firstLine="0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która prowadzona była w nieruchomościach położonych w: ………………………………………………………………………. .</w:t>
      </w:r>
    </w:p>
    <w:p w:rsidR="00FF218F" w:rsidRPr="00FF218F" w:rsidRDefault="00FF218F" w:rsidP="00FF218F">
      <w:pPr>
        <w:pStyle w:val="Bodytext40"/>
        <w:shd w:val="clear" w:color="auto" w:fill="auto"/>
        <w:spacing w:after="0" w:line="240" w:lineRule="auto"/>
        <w:ind w:left="851" w:firstLine="0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rPr>
          <w:b/>
          <w:sz w:val="18"/>
          <w:szCs w:val="18"/>
        </w:rPr>
      </w:pPr>
      <w:r w:rsidRPr="00FF218F">
        <w:rPr>
          <w:sz w:val="18"/>
          <w:szCs w:val="18"/>
        </w:rPr>
        <w:t xml:space="preserve">        2. </w:t>
      </w:r>
    </w:p>
    <w:tbl>
      <w:tblPr>
        <w:tblStyle w:val="Tabela-Siatka"/>
        <w:tblW w:w="0" w:type="auto"/>
        <w:tblInd w:w="695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218F" w:rsidRPr="00FF218F" w:rsidTr="000E3E61">
        <w:tc>
          <w:tcPr>
            <w:tcW w:w="9062" w:type="dxa"/>
            <w:gridSpan w:val="4"/>
          </w:tcPr>
          <w:p w:rsidR="00FF218F" w:rsidRPr="00FF218F" w:rsidRDefault="00FF218F" w:rsidP="000E3E61">
            <w:pPr>
              <w:jc w:val="both"/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 xml:space="preserve">Spadek obrotów gospodarczych (w ujęciu ilościowym lub wartościowym) z 2 dowolnie wskazanych </w:t>
            </w:r>
            <w:r w:rsidRPr="00FF218F">
              <w:rPr>
                <w:color w:val="auto"/>
                <w:sz w:val="18"/>
                <w:szCs w:val="18"/>
              </w:rPr>
              <w:t xml:space="preserve">kolejnych miesięcy kalendarzowych, przypadających w okresie po dniu 1 stycznia 2020r. liczony zgodnie z §1 ust. 3 pkt 1) uchwały. UWAGA: za miesiąc uważa się także 30 kolejno po sobie następujących dni kalendarzowych, w przypadku gdy dwumiesięczny okres porównawczy rozpoczyna się w trakcie miesiąca kalendarzowego, to jest w dniu innym niż pierwszy dzień danego </w:t>
            </w:r>
            <w:r w:rsidRPr="00FF218F">
              <w:rPr>
                <w:sz w:val="18"/>
                <w:szCs w:val="18"/>
              </w:rPr>
              <w:t>miesiąca kalendarzowego</w:t>
            </w: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miesiąc: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miesiąc:</w:t>
            </w:r>
          </w:p>
        </w:tc>
        <w:tc>
          <w:tcPr>
            <w:tcW w:w="2266" w:type="dxa"/>
            <w:vMerge w:val="restart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>Spadek obrotów</w:t>
            </w:r>
          </w:p>
        </w:tc>
        <w:tc>
          <w:tcPr>
            <w:tcW w:w="2266" w:type="dxa"/>
            <w:vMerge w:val="restart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>Dzień, od którego liczony jest spadek obrotów</w:t>
            </w: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Łączne obroty w ciągu analogicznych 2 kolejnych miesięcy kalendarzowych w roku poprzednim (2019)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Łączne obroty w trakcie dowolnie wskazanych 2 kolejnych miesięcy kalendarzowych, przypadających w okresie po dniu 1 stycznia 2020 r. do dnia poprzedzającego dzień złożenia niniejszej informacji</w:t>
            </w:r>
          </w:p>
        </w:tc>
        <w:tc>
          <w:tcPr>
            <w:tcW w:w="2266" w:type="dxa"/>
            <w:vMerge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>- zł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>- zł</w:t>
            </w:r>
          </w:p>
        </w:tc>
        <w:tc>
          <w:tcPr>
            <w:tcW w:w="2266" w:type="dxa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  <w:r w:rsidRPr="00FF218F">
              <w:rPr>
                <w:sz w:val="18"/>
                <w:szCs w:val="18"/>
              </w:rPr>
              <w:t>%</w:t>
            </w:r>
          </w:p>
        </w:tc>
        <w:tc>
          <w:tcPr>
            <w:tcW w:w="2266" w:type="dxa"/>
          </w:tcPr>
          <w:p w:rsidR="00FF218F" w:rsidRPr="00FF218F" w:rsidRDefault="00FF218F" w:rsidP="000E3E61">
            <w:pPr>
              <w:rPr>
                <w:sz w:val="18"/>
                <w:szCs w:val="18"/>
              </w:rPr>
            </w:pPr>
          </w:p>
        </w:tc>
      </w:tr>
    </w:tbl>
    <w:p w:rsidR="00FF218F" w:rsidRPr="00FF218F" w:rsidRDefault="00FF218F" w:rsidP="00FF218F">
      <w:pPr>
        <w:pStyle w:val="Bodytext4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vertAlign w:val="subscript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FF218F">
        <w:rPr>
          <w:rFonts w:ascii="Times New Roman" w:hAnsi="Times New Roman" w:cs="Times New Roman"/>
          <w:b/>
          <w:sz w:val="24"/>
          <w:szCs w:val="24"/>
        </w:rPr>
        <w:t>lub</w:t>
      </w: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695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218F" w:rsidRPr="00FF218F" w:rsidTr="000E3E61">
        <w:tc>
          <w:tcPr>
            <w:tcW w:w="9062" w:type="dxa"/>
            <w:gridSpan w:val="4"/>
          </w:tcPr>
          <w:p w:rsidR="00FF218F" w:rsidRPr="00FF218F" w:rsidRDefault="00FF218F" w:rsidP="000E3E61">
            <w:pPr>
              <w:jc w:val="both"/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Spadek obrotów gospodarczych (w ujęciu ilościowym lub wartościowym) z dowolnie wskazanego miesiąca kalendarzowego, przypadającego w okresie po dniu 1 stycznia 2020r. liczony zgodnie z §1 ust. 3 pkt 2) uchwały. UWAGA: za miesiąc uważa się także 30 kolejno po sobie następujących dni kalendarzowych, w przypadku gdy dwumiesięczny okres porównawczy rozpoczyna się w trakcie miesiąca kalendarzowego, to jest w dniu innym niż pierwszy dzień danego miesiąca kalendarzowego</w:t>
            </w: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strike/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miesiąc: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strike/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miesiąc:</w:t>
            </w:r>
          </w:p>
        </w:tc>
        <w:tc>
          <w:tcPr>
            <w:tcW w:w="2266" w:type="dxa"/>
            <w:vMerge w:val="restart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Spadek obrotów</w:t>
            </w:r>
          </w:p>
        </w:tc>
        <w:tc>
          <w:tcPr>
            <w:tcW w:w="2266" w:type="dxa"/>
            <w:vMerge w:val="restart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Dzień, od którego liczony jest spadek obrotów</w:t>
            </w: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 xml:space="preserve">Łączne obroty z miesiąca poprzedniego 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Łączne obroty z dowolnie  wskazanego miesiąca kalendarzowego, przypadającego w okresie po dniu 1 stycznia 2020 r. do dnia poprzedzającego dzień złożenia niniejszej informacji</w:t>
            </w:r>
          </w:p>
        </w:tc>
        <w:tc>
          <w:tcPr>
            <w:tcW w:w="2266" w:type="dxa"/>
            <w:vMerge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</w:p>
        </w:tc>
      </w:tr>
      <w:tr w:rsidR="00FF218F" w:rsidRPr="00FF218F" w:rsidTr="000E3E61"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- zł</w:t>
            </w:r>
          </w:p>
        </w:tc>
        <w:tc>
          <w:tcPr>
            <w:tcW w:w="2265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- zł</w:t>
            </w:r>
          </w:p>
        </w:tc>
        <w:tc>
          <w:tcPr>
            <w:tcW w:w="2266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  <w:r w:rsidRPr="00FF218F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2266" w:type="dxa"/>
          </w:tcPr>
          <w:p w:rsidR="00FF218F" w:rsidRPr="00FF218F" w:rsidRDefault="00FF218F" w:rsidP="000E3E61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  <w:sz w:val="18"/>
          <w:szCs w:val="18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……………………………………………………..</w:t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  <w:t>…………………………………………………………..</w:t>
      </w: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  <w:r w:rsidRPr="00FF218F">
        <w:rPr>
          <w:rFonts w:ascii="Times New Roman" w:hAnsi="Times New Roman" w:cs="Times New Roman"/>
        </w:rPr>
        <w:t>Data</w:t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</w:r>
      <w:r w:rsidRPr="00FF218F">
        <w:rPr>
          <w:rFonts w:ascii="Times New Roman" w:hAnsi="Times New Roman" w:cs="Times New Roman"/>
        </w:rPr>
        <w:tab/>
        <w:t>Podpis przedsiębiorcy/osoby upoważnionej</w:t>
      </w: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p w:rsidR="00FF218F" w:rsidRPr="00FF218F" w:rsidRDefault="00FF218F" w:rsidP="00FF218F">
      <w:pPr>
        <w:pStyle w:val="Bodytext70"/>
        <w:shd w:val="clear" w:color="auto" w:fill="auto"/>
        <w:spacing w:after="0"/>
        <w:ind w:left="567"/>
        <w:rPr>
          <w:rFonts w:ascii="Times New Roman" w:hAnsi="Times New Roman" w:cs="Times New Roman"/>
        </w:rPr>
      </w:pPr>
    </w:p>
    <w:p w:rsidR="002D6BB8" w:rsidRPr="00FF218F" w:rsidRDefault="00FF218F" w:rsidP="00FF218F">
      <w:pPr>
        <w:rPr>
          <w:sz w:val="18"/>
          <w:szCs w:val="18"/>
        </w:rPr>
      </w:pPr>
      <w:r w:rsidRPr="00FF218F">
        <w:rPr>
          <w:sz w:val="18"/>
          <w:szCs w:val="18"/>
        </w:rPr>
        <w:t xml:space="preserve">Kto, składając zeznanie mające służyć za dowód w postępowaniu sądowym lub innym postępowaniu prowadzonym na podstawie ustawy, zeznaje nieprawdę lub zataja prawdę, podlega karze pozbawienia wolności od 6 miesięcy do lat 8 - </w:t>
      </w:r>
      <w:r w:rsidRPr="00FF218F">
        <w:rPr>
          <w:sz w:val="18"/>
          <w:szCs w:val="18"/>
          <w:lang w:val="en-US" w:bidi="en-US"/>
        </w:rPr>
        <w:t xml:space="preserve">art. </w:t>
      </w:r>
      <w:r w:rsidRPr="00FF218F">
        <w:rPr>
          <w:sz w:val="18"/>
          <w:szCs w:val="18"/>
        </w:rPr>
        <w:t>233 ustawy z dnia 6 czerwca 1997 r. - Kodeks karny (Dz. U. 2019 poz. 1950 ze zm.)</w:t>
      </w:r>
    </w:p>
    <w:sectPr w:rsidR="002D6BB8" w:rsidRPr="00FF218F" w:rsidSect="00FF2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6222"/>
    <w:multiLevelType w:val="multilevel"/>
    <w:tmpl w:val="0C044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87814"/>
    <w:multiLevelType w:val="multilevel"/>
    <w:tmpl w:val="D8D4DC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8F"/>
    <w:rsid w:val="002D6BB8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5290-0007-4751-BC0A-52F2F33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1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FF218F"/>
    <w:rPr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FF218F"/>
    <w:rPr>
      <w:sz w:val="18"/>
      <w:szCs w:val="18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FF218F"/>
    <w:rPr>
      <w:b/>
      <w:bCs/>
      <w:sz w:val="18"/>
      <w:szCs w:val="18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FF218F"/>
    <w:rPr>
      <w:i/>
      <w:iCs/>
      <w:sz w:val="18"/>
      <w:szCs w:val="18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rsid w:val="00FF218F"/>
    <w:rPr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218F"/>
    <w:pPr>
      <w:shd w:val="clear" w:color="auto" w:fill="FFFFFF"/>
      <w:spacing w:before="280" w:after="280" w:line="244" w:lineRule="exact"/>
      <w:ind w:hanging="22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Normalny"/>
    <w:link w:val="Bodytext4"/>
    <w:rsid w:val="00FF218F"/>
    <w:pPr>
      <w:shd w:val="clear" w:color="auto" w:fill="FFFFFF"/>
      <w:spacing w:after="440" w:line="200" w:lineRule="exact"/>
      <w:ind w:hanging="380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Bodytext50">
    <w:name w:val="Body text (5)"/>
    <w:basedOn w:val="Normalny"/>
    <w:link w:val="Bodytext5"/>
    <w:rsid w:val="00FF218F"/>
    <w:pPr>
      <w:shd w:val="clear" w:color="auto" w:fill="FFFFFF"/>
      <w:spacing w:before="240" w:after="440" w:line="211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  <w:style w:type="paragraph" w:customStyle="1" w:styleId="Bodytext60">
    <w:name w:val="Body text (6)"/>
    <w:basedOn w:val="Normalny"/>
    <w:link w:val="Bodytext6"/>
    <w:rsid w:val="00FF218F"/>
    <w:pPr>
      <w:shd w:val="clear" w:color="auto" w:fill="FFFFFF"/>
      <w:spacing w:before="240" w:after="240" w:line="200" w:lineRule="exact"/>
      <w:jc w:val="both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 w:bidi="ar-SA"/>
    </w:rPr>
  </w:style>
  <w:style w:type="paragraph" w:customStyle="1" w:styleId="Bodytext70">
    <w:name w:val="Body text (7)"/>
    <w:basedOn w:val="Normalny"/>
    <w:link w:val="Bodytext7"/>
    <w:rsid w:val="00FF218F"/>
    <w:pPr>
      <w:shd w:val="clear" w:color="auto" w:fill="FFFFFF"/>
      <w:spacing w:after="1980" w:line="182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table" w:styleId="Tabela-Siatka">
    <w:name w:val="Table Grid"/>
    <w:basedOn w:val="Standardowy"/>
    <w:uiPriority w:val="39"/>
    <w:rsid w:val="00FF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21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8F"/>
    <w:rPr>
      <w:rFonts w:ascii="Segoe UI" w:eastAsia="Times New Roman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Wrześniacki</dc:creator>
  <cp:keywords/>
  <dc:description/>
  <cp:lastModifiedBy>Marcin Wrześniacki</cp:lastModifiedBy>
  <cp:revision>2</cp:revision>
  <cp:lastPrinted>2020-05-07T06:34:00Z</cp:lastPrinted>
  <dcterms:created xsi:type="dcterms:W3CDTF">2020-05-07T06:30:00Z</dcterms:created>
  <dcterms:modified xsi:type="dcterms:W3CDTF">2020-05-07T06:36:00Z</dcterms:modified>
</cp:coreProperties>
</file>